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9443" w14:textId="39C9D873" w:rsidR="0083408D" w:rsidRPr="0083408D" w:rsidRDefault="0083408D" w:rsidP="0083408D">
      <w:pPr>
        <w:rPr>
          <w:b/>
          <w:bCs/>
        </w:rPr>
      </w:pPr>
      <w:r w:rsidRPr="0083408D">
        <w:rPr>
          <w:b/>
          <w:bCs/>
        </w:rPr>
        <w:t>Dažniausiai pasitaikančios pirkimų klaidos</w:t>
      </w:r>
    </w:p>
    <w:p w14:paraId="32288EAD" w14:textId="3ABE0EF5" w:rsidR="0083408D" w:rsidRPr="0083408D" w:rsidRDefault="0083408D" w:rsidP="0083408D">
      <w:r w:rsidRPr="0083408D">
        <w:t>Įmonės, gavusios finansavimą pagal bet kurį ES kvietimą, privalo ne tik tinkamai vykdyti finansavimo sutartyje numatytas veiklas, tačiau ir projektui reikalingas prekes, paslaugas ar darbus turi pirkti pagal Viešųjų pirkimų įstatymą (klasikiniam sektoriui), Pirkimų, atliekamų vandentvarkos, energetikos, transporto ar pašto paslaugų srities perkančiųjų subjektų, įstatymą (komunaliniam sektoriui) ar Projektų finansavimo ir administravimo taisyklių (NPO) numatytas nuostatas. Svarbu laikytis šiuose teisės aktuose nustatytų reikalavimų pirkimams.</w:t>
      </w:r>
    </w:p>
    <w:p w14:paraId="58F662D4" w14:textId="77777777" w:rsidR="0083408D" w:rsidRPr="0083408D" w:rsidRDefault="0083408D" w:rsidP="0083408D">
      <w:r w:rsidRPr="0083408D">
        <w:t xml:space="preserve">Finansų ministerija, siekdama valdyti riziką dėl galimų pažeidimų projektuose vykdomuose viešuosiuose pirkimuose, kartu su Viešųjų pirkimų tarnyba (toliau – VPT) atliko pakartotinį pirkimų, kuriuos vykdė ES finansavimą gavę </w:t>
      </w:r>
      <w:proofErr w:type="gramStart"/>
      <w:r w:rsidRPr="0083408D">
        <w:t>projektų  vykdytojai</w:t>
      </w:r>
      <w:proofErr w:type="gramEnd"/>
      <w:r w:rsidRPr="0083408D">
        <w:t>, vertinimą. Visuose tikrintuose projektuose pažeidimų nenustatyta, arba jie buvo formalūs, neturintys įtakos pirkimų rezultatams.</w:t>
      </w:r>
    </w:p>
    <w:p w14:paraId="7F3A5300" w14:textId="77777777" w:rsidR="0083408D" w:rsidRPr="0083408D" w:rsidRDefault="0083408D" w:rsidP="0083408D">
      <w:r w:rsidRPr="0083408D">
        <w:t>Kad ir toliau patikrų rezultatai būtų palankūs projektų vykdytojams, Inovacijų agentūros Ekspertų skyriaus vyriausioji ekspertė Agnė Braškutė išskyrė dažniausiai pasitaikančias klaidas pirkimuose:</w:t>
      </w:r>
    </w:p>
    <w:p w14:paraId="7B8F2E18" w14:textId="77777777" w:rsidR="0083408D" w:rsidRPr="0083408D" w:rsidRDefault="0083408D" w:rsidP="0083408D">
      <w:pPr>
        <w:numPr>
          <w:ilvl w:val="0"/>
          <w:numId w:val="1"/>
        </w:numPr>
      </w:pPr>
      <w:r w:rsidRPr="0083408D">
        <w:t>Perkamas objektas nėra skaidomas į dalis, t.y. projekto vykdytojas sujungia skirtingus pirkimo objektus į vieną, nors turėtų juos pirkti atskirais pirkimais arba skaidyti pirkimo objektą dalimis ir taip užtikrinti didesnę tiekėjų konkurenciją;</w:t>
      </w:r>
    </w:p>
    <w:p w14:paraId="3EE83BBD" w14:textId="77777777" w:rsidR="0083408D" w:rsidRPr="0083408D" w:rsidRDefault="0083408D" w:rsidP="0083408D">
      <w:pPr>
        <w:numPr>
          <w:ilvl w:val="0"/>
          <w:numId w:val="1"/>
        </w:numPr>
      </w:pPr>
      <w:r w:rsidRPr="0083408D">
        <w:t xml:space="preserve">Techninėje specifikacijoje bei kituose pirkimo dokumentuose nurodant standartą, techninį liudijimą ar bendrąsias technines specifikacijas, kiekviena nuoroda nėra </w:t>
      </w:r>
      <w:proofErr w:type="gramStart"/>
      <w:r w:rsidRPr="0083408D">
        <w:t>pateikiama  kartu</w:t>
      </w:r>
      <w:proofErr w:type="gramEnd"/>
      <w:r w:rsidRPr="0083408D">
        <w:t xml:space="preserve"> su žodžiais „arba </w:t>
      </w:r>
      <w:proofErr w:type="gramStart"/>
      <w:r w:rsidRPr="0083408D">
        <w:t>lygiavertis“</w:t>
      </w:r>
      <w:proofErr w:type="gramEnd"/>
      <w:r w:rsidRPr="0083408D">
        <w:t>, nors taip turėtų būti formuluojama.</w:t>
      </w:r>
    </w:p>
    <w:p w14:paraId="6E48A696" w14:textId="77777777" w:rsidR="0083408D" w:rsidRPr="0083408D" w:rsidRDefault="0083408D" w:rsidP="0083408D">
      <w:pPr>
        <w:numPr>
          <w:ilvl w:val="0"/>
          <w:numId w:val="1"/>
        </w:numPr>
      </w:pPr>
      <w:r w:rsidRPr="0083408D">
        <w:t xml:space="preserve">Techninės specifikacijos reikalavimai nustatyti itin konkrečiais parametrais, o turėtų būti nurodyti reikšmių diapazonais („nuo … iki </w:t>
      </w:r>
      <w:proofErr w:type="gramStart"/>
      <w:r w:rsidRPr="0083408D">
        <w:t>…“</w:t>
      </w:r>
      <w:proofErr w:type="gramEnd"/>
      <w:r w:rsidRPr="0083408D">
        <w:t xml:space="preserve">) ar ribiniais dydžiais („ ne daugiau kaip </w:t>
      </w:r>
      <w:proofErr w:type="gramStart"/>
      <w:r w:rsidRPr="0083408D">
        <w:t>…“</w:t>
      </w:r>
      <w:proofErr w:type="gramEnd"/>
      <w:r w:rsidRPr="0083408D">
        <w:t xml:space="preserve">, „ne mažiau kaip </w:t>
      </w:r>
      <w:proofErr w:type="gramStart"/>
      <w:r w:rsidRPr="0083408D">
        <w:t>…“</w:t>
      </w:r>
      <w:proofErr w:type="gramEnd"/>
      <w:r w:rsidRPr="0083408D">
        <w:t>);</w:t>
      </w:r>
    </w:p>
    <w:p w14:paraId="742BBC07" w14:textId="77777777" w:rsidR="0083408D" w:rsidRPr="0083408D" w:rsidRDefault="0083408D" w:rsidP="0083408D">
      <w:pPr>
        <w:numPr>
          <w:ilvl w:val="0"/>
          <w:numId w:val="1"/>
        </w:numPr>
      </w:pPr>
      <w:r w:rsidRPr="0083408D">
        <w:t>Kvalifikacinis reikalavimas neproporcingas arba (ir) nesusijęs su pirkimo objektu, nors turėtų būti proporcingas pirkimo objektui, neužaukštintas ir susijęs su pirkimo objektu;</w:t>
      </w:r>
    </w:p>
    <w:p w14:paraId="4CD95C57" w14:textId="77777777" w:rsidR="0083408D" w:rsidRPr="0083408D" w:rsidRDefault="0083408D" w:rsidP="0083408D">
      <w:pPr>
        <w:numPr>
          <w:ilvl w:val="0"/>
          <w:numId w:val="1"/>
        </w:numPr>
      </w:pPr>
      <w:r w:rsidRPr="0083408D">
        <w:t xml:space="preserve">Ribojama subranga (subtiekimas ar subteikimas), numatant nuostatą, kad „tiekėjas negali būti nurodytas kaip subtiekėjas kito tiekėjo, teikiančio pasiūlymą tam pačiam konkursui. Tame pačiame konkurse bendrai veiklai susivienijusių asmenų grupės partneriai negali būti nurodyti kaip subtiekėjai kitoje susivienijusių asmenų </w:t>
      </w:r>
      <w:proofErr w:type="gramStart"/>
      <w:r w:rsidRPr="0083408D">
        <w:t>grupėje“</w:t>
      </w:r>
      <w:proofErr w:type="gramEnd"/>
      <w:r w:rsidRPr="0083408D">
        <w:t>; tačiau šios nuostatos kaip ribojančios konkurenciją neturėtų būti pirkimo sąlygose.</w:t>
      </w:r>
    </w:p>
    <w:p w14:paraId="49B862ED" w14:textId="77777777" w:rsidR="0083408D" w:rsidRPr="0083408D" w:rsidRDefault="0083408D" w:rsidP="0083408D">
      <w:pPr>
        <w:numPr>
          <w:ilvl w:val="0"/>
          <w:numId w:val="1"/>
        </w:numPr>
      </w:pPr>
      <w:r w:rsidRPr="0083408D">
        <w:t xml:space="preserve">Informacija apie pirkimą nėra paviešinama ar paviešinama nelaiku Centrinėje viešųjų pirkimų informacinėje sistemoje (CVP IS).  Vadovaujantis Viešųjų pirkimų įstatyme numatytais terminais, projektų vykdytojai turi pareigą laiku paviešinti informaciją CVP IS </w:t>
      </w:r>
      <w:r w:rsidRPr="0083408D">
        <w:lastRenderedPageBreak/>
        <w:t xml:space="preserve">sutarčių viešinimo dalyje apie sudarytą sutartį bei skelbimus apie sutarties sudarymą („Perkantysis subjektas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VPT nustatyta tvarka turi paskelbti Centrinėje viešųjų pirkimų informacinėje sistemoje. &lt;…&gt;“. „Skelbimas apie pirkimo sutarties sudarymą, preliminariosios sutarties sudarymą, projekto konkurso rezultatus skelbiamas ne vėliau kaip per 30 dienų po pirkimo sutarties ar preliminariosios sutarties sudarymo arba po projekto konkurso rezultatų patvirtinimo. Skelbimai apie pirkimo sutarties sudarymą atlikus šio įstatymo 4 priede nurodytų socialinių ir kitų specialiųjų paslaugų pirkimą ar pirkimo sutarties sudarymą preliminariosios sutarties pagrindu, ar pirkimo sutarties sudarymą taikant dinaminę pirkimo sistemą gali būti sugrupuojami ir skelbiami ne vėliau kaip per 30 dienų ketvirčiui </w:t>
      </w:r>
      <w:proofErr w:type="gramStart"/>
      <w:r w:rsidRPr="0083408D">
        <w:t>pasibaigus“</w:t>
      </w:r>
      <w:proofErr w:type="gramEnd"/>
      <w:r w:rsidRPr="0083408D">
        <w:t>.)</w:t>
      </w:r>
    </w:p>
    <w:p w14:paraId="41B7F876" w14:textId="77777777" w:rsidR="0083408D" w:rsidRPr="0083408D" w:rsidRDefault="0083408D" w:rsidP="0083408D">
      <w:pPr>
        <w:numPr>
          <w:ilvl w:val="0"/>
          <w:numId w:val="1"/>
        </w:numPr>
      </w:pPr>
      <w:r w:rsidRPr="0083408D">
        <w:t>Pratęsus pirkimo sutarties vykdymo terminą, nepratęsiamas (tačiau turėtų būti pratęsiamas analogiškam laikotarpiui) sutarties įvykdymo užtikrinimo terminas.</w:t>
      </w:r>
    </w:p>
    <w:p w14:paraId="49C3A2F4" w14:textId="77777777" w:rsidR="0083408D" w:rsidRPr="0083408D" w:rsidRDefault="0083408D" w:rsidP="0083408D">
      <w:pPr>
        <w:numPr>
          <w:ilvl w:val="0"/>
          <w:numId w:val="1"/>
        </w:numPr>
      </w:pPr>
      <w:r w:rsidRPr="0083408D">
        <w:t>Nereikalaujama sutartyje numatytų delspinigių už vėlavimą suteikti paslaugas, pristatyti prekes ar atlikti darbus. Jei dėl tiekėjo kaltės vėluojama tiekti prekes/suteikti paslaugas/atlikti darbus, turi būti skaičiuojami pirkimo sąlygose (bei sutartyje) nustatyti delspinigiai.</w:t>
      </w:r>
    </w:p>
    <w:p w14:paraId="714F4D8B" w14:textId="77777777" w:rsidR="0083408D" w:rsidRPr="0083408D" w:rsidRDefault="0083408D" w:rsidP="0083408D">
      <w:r w:rsidRPr="0083408D">
        <w:t>Ekspertės praktika rodo, kad didžiausias klaidų skaičius pastebimas neperkančių organizacijų (NPO) pirkimuose. NPO sektoriui būdingos tokios besikartojančias klaidos:</w:t>
      </w:r>
    </w:p>
    <w:p w14:paraId="0A5EC4B6" w14:textId="77777777" w:rsidR="0083408D" w:rsidRPr="0083408D" w:rsidRDefault="0083408D" w:rsidP="0083408D">
      <w:pPr>
        <w:numPr>
          <w:ilvl w:val="0"/>
          <w:numId w:val="2"/>
        </w:numPr>
      </w:pPr>
      <w:r w:rsidRPr="0083408D">
        <w:t>Dažni prieštaravimai tarp pirkimo sąlygų bei jų priedų;</w:t>
      </w:r>
    </w:p>
    <w:p w14:paraId="70AD2D4A" w14:textId="77777777" w:rsidR="0083408D" w:rsidRPr="0083408D" w:rsidRDefault="0083408D" w:rsidP="0083408D">
      <w:pPr>
        <w:numPr>
          <w:ilvl w:val="0"/>
          <w:numId w:val="2"/>
        </w:numPr>
      </w:pPr>
      <w:r w:rsidRPr="0083408D">
        <w:t>Nenumatomas sutarties pratęsimas bei stabdymas, o sutarties vykdymas faktiškai vėluoja;</w:t>
      </w:r>
    </w:p>
    <w:p w14:paraId="3EAF7269" w14:textId="77777777" w:rsidR="0083408D" w:rsidRPr="0083408D" w:rsidRDefault="0083408D" w:rsidP="0083408D">
      <w:pPr>
        <w:numPr>
          <w:ilvl w:val="0"/>
          <w:numId w:val="2"/>
        </w:numPr>
      </w:pPr>
      <w:r w:rsidRPr="0083408D">
        <w:t>Sudarant sutartį, pakeičiamos skelbtos pirkimo sąlygos;</w:t>
      </w:r>
    </w:p>
    <w:p w14:paraId="6BC4E9CD" w14:textId="77777777" w:rsidR="0083408D" w:rsidRPr="0083408D" w:rsidRDefault="0083408D" w:rsidP="0083408D">
      <w:pPr>
        <w:numPr>
          <w:ilvl w:val="0"/>
          <w:numId w:val="2"/>
        </w:numPr>
      </w:pPr>
      <w:r w:rsidRPr="0083408D">
        <w:t>Vykdant sutartį, keičiamos išviešintos (skelbtos) esminės pirkimo sąlygos, pagal kurias tiekėjai sprendė, ar dalyvauti konkurse;</w:t>
      </w:r>
    </w:p>
    <w:p w14:paraId="7C4A5E7F" w14:textId="77777777" w:rsidR="0083408D" w:rsidRPr="0083408D" w:rsidRDefault="0083408D" w:rsidP="0083408D">
      <w:pPr>
        <w:numPr>
          <w:ilvl w:val="0"/>
          <w:numId w:val="2"/>
        </w:numPr>
      </w:pPr>
      <w:r w:rsidRPr="0083408D">
        <w:t xml:space="preserve">Itin dažnai sutarties vykdyme etape keičiamos atsiskaitymo sąlygos. Pavyzdžiui, keičiamos mokėjimų proporcijos ar keičiama mokėjimų tvarka, nemokamas avansas tiekėjui, nors buvo numatytas pirkimo sąlygose (sutartyje) ar sumokamas avansas, nors nenumatytas pirkimo sąlygose (sutartyje), sumokama anksčiau nei pristatyta </w:t>
      </w:r>
      <w:r w:rsidRPr="0083408D">
        <w:lastRenderedPageBreak/>
        <w:t>prekė/suteikta paslauga/atlikti darbai, atsiranda papildomi tarpiniai mokėjimai, nors pirkimo sąlygose buvo numatytas vienas tarpinis mokėjimas;</w:t>
      </w:r>
    </w:p>
    <w:p w14:paraId="4C18263F" w14:textId="77777777" w:rsidR="0083408D" w:rsidRPr="0083408D" w:rsidRDefault="0083408D" w:rsidP="0083408D">
      <w:pPr>
        <w:numPr>
          <w:ilvl w:val="0"/>
          <w:numId w:val="2"/>
        </w:numPr>
      </w:pPr>
      <w:r w:rsidRPr="0083408D">
        <w:t>Į pirkimo sąlygas apskritai neįtraukiamos delspinigių nuostatos;</w:t>
      </w:r>
    </w:p>
    <w:p w14:paraId="55801F52" w14:textId="77777777" w:rsidR="0083408D" w:rsidRPr="0083408D" w:rsidRDefault="0083408D" w:rsidP="0083408D">
      <w:pPr>
        <w:numPr>
          <w:ilvl w:val="0"/>
          <w:numId w:val="2"/>
        </w:numPr>
      </w:pPr>
      <w:r w:rsidRPr="0083408D">
        <w:t>Esant faktiniam vėlavimui dėl tiekėjo kaltės, neskaičiuojami delspinigiai;</w:t>
      </w:r>
    </w:p>
    <w:p w14:paraId="2F3E5DDD" w14:textId="77777777" w:rsidR="0083408D" w:rsidRPr="0083408D" w:rsidRDefault="0083408D" w:rsidP="0083408D">
      <w:pPr>
        <w:numPr>
          <w:ilvl w:val="0"/>
          <w:numId w:val="2"/>
        </w:numPr>
      </w:pPr>
      <w:r w:rsidRPr="0083408D">
        <w:t>Nesudaroma rašytinė sutartis, kai pirkimo sutarties vertė viršija PAFT nustatytą ribą;</w:t>
      </w:r>
    </w:p>
    <w:p w14:paraId="06A3AF4C" w14:textId="77777777" w:rsidR="0083408D" w:rsidRPr="0083408D" w:rsidRDefault="0083408D" w:rsidP="0083408D">
      <w:pPr>
        <w:numPr>
          <w:ilvl w:val="0"/>
          <w:numId w:val="2"/>
        </w:numPr>
      </w:pPr>
      <w:r w:rsidRPr="0083408D">
        <w:t>Patikslinus pirkimo sąlygas, nepratęsiamas pasiūlymų pateikimo terminas.</w:t>
      </w:r>
    </w:p>
    <w:p w14:paraId="50889913" w14:textId="77777777" w:rsidR="0083408D" w:rsidRPr="0083408D" w:rsidRDefault="0083408D" w:rsidP="0083408D">
      <w:r w:rsidRPr="0083408D">
        <w:t>Inovacijų agentūra kviečia nedaryti šių klaidų, tuomet projektų vykdymas bus sklandesnis ir sėkmingesnis. Visais projektų vykdymo klausimais kviečiame konsultuotis su savo projekto vadovu ar finansininku.</w:t>
      </w:r>
    </w:p>
    <w:p w14:paraId="23655D06" w14:textId="77777777" w:rsidR="0083408D" w:rsidRPr="0083408D" w:rsidRDefault="0083408D" w:rsidP="0083408D">
      <w:r w:rsidRPr="0083408D">
        <w:t xml:space="preserve">Primename, kad visi projektų vykdytojai naujojo finansavimo periodo pirkimuose turi vadovautis Projektų administravimo ir finansavimo taisyklių 7 priedu „Pirkimų </w:t>
      </w:r>
      <w:proofErr w:type="gramStart"/>
      <w:r w:rsidRPr="0083408D">
        <w:t>taisyklės“ (</w:t>
      </w:r>
      <w:proofErr w:type="gramEnd"/>
      <w:r w:rsidRPr="0083408D">
        <w:t>patvirtintos Lietuvos Respublikos finansų ministro 2022 m. birželio 22 d. įsakymu Nr. 1K-237) </w:t>
      </w:r>
      <w:hyperlink r:id="rId5" w:history="1">
        <w:r w:rsidRPr="0083408D">
          <w:rPr>
            <w:rStyle w:val="Hipersaitas"/>
          </w:rPr>
          <w:t>https://e-seimas.lrs.lt/portal/legalAct/lt/TAD/fd3d3843f26111ecbfe9c72e552dd5bd/asr</w:t>
        </w:r>
      </w:hyperlink>
      <w:r w:rsidRPr="0083408D">
        <w:t>) taip pat pagalbiniais teisės aktais: Tiekėjo kvalifikacijos reikalavimų nustatymo metodika (</w:t>
      </w:r>
      <w:hyperlink r:id="rId6" w:history="1">
        <w:r w:rsidRPr="0083408D">
          <w:rPr>
            <w:rStyle w:val="Hipersaitas"/>
          </w:rPr>
          <w:t>https://e-seimas.lrs.lt/portal/legalAct/lt/TAD/01aeb1815d8c11e7a53b83ca0142260e/asr</w:t>
        </w:r>
      </w:hyperlink>
      <w:r w:rsidRPr="0083408D">
        <w:t>),  Ekonomiškai naudingiausio pasiūlymo vertinimo gairėmis </w:t>
      </w:r>
      <w:hyperlink r:id="rId7" w:history="1">
        <w:r w:rsidRPr="0083408D">
          <w:rPr>
            <w:rStyle w:val="Hipersaitas"/>
          </w:rPr>
          <w:t>https://vpt.lrv.lt/uploads/vpt/documents/files/mp/ENPV_gaires.pdf</w:t>
        </w:r>
      </w:hyperlink>
      <w:r w:rsidRPr="0083408D">
        <w:t>), Kainodaros taisyklių nustatymo metodika </w:t>
      </w:r>
      <w:hyperlink r:id="rId8" w:history="1">
        <w:r w:rsidRPr="0083408D">
          <w:rPr>
            <w:rStyle w:val="Hipersaitas"/>
          </w:rPr>
          <w:t>https://e-seimas.lrs.lt/portal/legalAct/lt/TAD/daa0e4a05c3c11e7a53b83ca0142260e/asr</w:t>
        </w:r>
      </w:hyperlink>
      <w:r w:rsidRPr="0083408D">
        <w:t>.</w:t>
      </w:r>
    </w:p>
    <w:p w14:paraId="67DD4725" w14:textId="77777777" w:rsidR="00D93FCA" w:rsidRDefault="00D93FCA"/>
    <w:sectPr w:rsidR="00D93FC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B0CFE"/>
    <w:multiLevelType w:val="multilevel"/>
    <w:tmpl w:val="5818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33D28"/>
    <w:multiLevelType w:val="multilevel"/>
    <w:tmpl w:val="E36A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629712">
    <w:abstractNumId w:val="1"/>
  </w:num>
  <w:num w:numId="2" w16cid:durableId="4418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8D"/>
    <w:rsid w:val="001842D9"/>
    <w:rsid w:val="002762B5"/>
    <w:rsid w:val="005A0ECB"/>
    <w:rsid w:val="0083408D"/>
    <w:rsid w:val="009157C0"/>
    <w:rsid w:val="00A93878"/>
    <w:rsid w:val="00D67F3C"/>
    <w:rsid w:val="00D9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82E3"/>
  <w15:chartTrackingRefBased/>
  <w15:docId w15:val="{EF0A70FF-E3BC-4489-8FF4-15531328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4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4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40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40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40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40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40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40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40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40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40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40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40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40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40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40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40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40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4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40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40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40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40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408D"/>
    <w:rPr>
      <w:i/>
      <w:iCs/>
      <w:color w:val="404040" w:themeColor="text1" w:themeTint="BF"/>
    </w:rPr>
  </w:style>
  <w:style w:type="paragraph" w:styleId="Sraopastraipa">
    <w:name w:val="List Paragraph"/>
    <w:basedOn w:val="prastasis"/>
    <w:uiPriority w:val="34"/>
    <w:qFormat/>
    <w:rsid w:val="0083408D"/>
    <w:pPr>
      <w:ind w:left="720"/>
      <w:contextualSpacing/>
    </w:pPr>
  </w:style>
  <w:style w:type="character" w:styleId="Rykuspabraukimas">
    <w:name w:val="Intense Emphasis"/>
    <w:basedOn w:val="Numatytasispastraiposriftas"/>
    <w:uiPriority w:val="21"/>
    <w:qFormat/>
    <w:rsid w:val="0083408D"/>
    <w:rPr>
      <w:i/>
      <w:iCs/>
      <w:color w:val="0F4761" w:themeColor="accent1" w:themeShade="BF"/>
    </w:rPr>
  </w:style>
  <w:style w:type="paragraph" w:styleId="Iskirtacitata">
    <w:name w:val="Intense Quote"/>
    <w:basedOn w:val="prastasis"/>
    <w:next w:val="prastasis"/>
    <w:link w:val="IskirtacitataDiagrama"/>
    <w:uiPriority w:val="30"/>
    <w:qFormat/>
    <w:rsid w:val="00834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408D"/>
    <w:rPr>
      <w:i/>
      <w:iCs/>
      <w:color w:val="0F4761" w:themeColor="accent1" w:themeShade="BF"/>
    </w:rPr>
  </w:style>
  <w:style w:type="character" w:styleId="Rykinuoroda">
    <w:name w:val="Intense Reference"/>
    <w:basedOn w:val="Numatytasispastraiposriftas"/>
    <w:uiPriority w:val="32"/>
    <w:qFormat/>
    <w:rsid w:val="0083408D"/>
    <w:rPr>
      <w:b/>
      <w:bCs/>
      <w:smallCaps/>
      <w:color w:val="0F4761" w:themeColor="accent1" w:themeShade="BF"/>
      <w:spacing w:val="5"/>
    </w:rPr>
  </w:style>
  <w:style w:type="character" w:styleId="Hipersaitas">
    <w:name w:val="Hyperlink"/>
    <w:basedOn w:val="Numatytasispastraiposriftas"/>
    <w:uiPriority w:val="99"/>
    <w:unhideWhenUsed/>
    <w:rsid w:val="0083408D"/>
    <w:rPr>
      <w:color w:val="467886" w:themeColor="hyperlink"/>
      <w:u w:val="single"/>
    </w:rPr>
  </w:style>
  <w:style w:type="character" w:styleId="Neapdorotaspaminjimas">
    <w:name w:val="Unresolved Mention"/>
    <w:basedOn w:val="Numatytasispastraiposriftas"/>
    <w:uiPriority w:val="99"/>
    <w:semiHidden/>
    <w:unhideWhenUsed/>
    <w:rsid w:val="00834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daa0e4a05c3c11e7a53b83ca0142260e/asr" TargetMode="External"/><Relationship Id="rId3" Type="http://schemas.openxmlformats.org/officeDocument/2006/relationships/settings" Target="settings.xml"/><Relationship Id="rId7" Type="http://schemas.openxmlformats.org/officeDocument/2006/relationships/hyperlink" Target="https://vpt.lrv.lt/uploads/vpt/documents/files/mp/ENPV_gair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01aeb1815d8c11e7a53b83ca0142260e/asr" TargetMode="External"/><Relationship Id="rId5" Type="http://schemas.openxmlformats.org/officeDocument/2006/relationships/hyperlink" Target="https://e-seimas.lrs.lt/portal/legalAct/lt/TAD/fd3d3843f26111ecbfe9c72e552dd5bd/as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1064</Words>
  <Characters>6071</Characters>
  <Application>Microsoft Office Word</Application>
  <DocSecurity>0</DocSecurity>
  <Lines>50</Lines>
  <Paragraphs>14</Paragraphs>
  <ScaleCrop>false</ScaleCrop>
  <Company>LVPA</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Grigelevičius</dc:creator>
  <cp:keywords/>
  <dc:description/>
  <cp:lastModifiedBy>Gediminas Grigelevičius</cp:lastModifiedBy>
  <cp:revision>1</cp:revision>
  <dcterms:created xsi:type="dcterms:W3CDTF">2026-05-02T07:53:00Z</dcterms:created>
  <dcterms:modified xsi:type="dcterms:W3CDTF">2026-05-02T07:54:00Z</dcterms:modified>
</cp:coreProperties>
</file>