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3185" w14:textId="7B4E51F3" w:rsidR="00850169" w:rsidRDefault="00B7406C" w:rsidP="00850169">
      <w:pPr>
        <w:tabs>
          <w:tab w:val="center" w:pos="4680"/>
          <w:tab w:val="right" w:pos="9360"/>
        </w:tabs>
        <w:ind w:firstLine="5387"/>
        <w:rPr>
          <w:bCs/>
          <w:color w:val="000000"/>
          <w:szCs w:val="24"/>
          <w:lang w:eastAsia="ko-KR"/>
        </w:rPr>
      </w:pPr>
      <w:r>
        <w:rPr>
          <w:bCs/>
          <w:color w:val="000000"/>
          <w:szCs w:val="24"/>
          <w:lang w:eastAsia="ko-KR"/>
        </w:rPr>
        <w:t xml:space="preserve">Tikslinių kompetencijų ugdymo palydimųjų </w:t>
      </w:r>
    </w:p>
    <w:p w14:paraId="7E3C9722" w14:textId="77777777" w:rsidR="00850169" w:rsidRDefault="00B7406C" w:rsidP="00850169">
      <w:pPr>
        <w:widowControl w:val="0"/>
        <w:ind w:firstLine="5387"/>
        <w:rPr>
          <w:bCs/>
          <w:color w:val="000000"/>
          <w:szCs w:val="24"/>
          <w:lang w:eastAsia="ko-KR"/>
        </w:rPr>
      </w:pPr>
      <w:r>
        <w:rPr>
          <w:bCs/>
          <w:color w:val="000000"/>
          <w:szCs w:val="24"/>
          <w:lang w:eastAsia="ko-KR"/>
        </w:rPr>
        <w:t xml:space="preserve">subsidijų verslui skyrimo ir administravimo </w:t>
      </w:r>
    </w:p>
    <w:p w14:paraId="0AEE3E2E" w14:textId="7447B6CC" w:rsidR="003B7E8B" w:rsidRDefault="00B7406C" w:rsidP="00850169">
      <w:pPr>
        <w:widowControl w:val="0"/>
        <w:ind w:firstLine="5387"/>
        <w:rPr>
          <w:bCs/>
          <w:color w:val="000000"/>
          <w:szCs w:val="24"/>
          <w:lang w:eastAsia="ko-KR"/>
        </w:rPr>
      </w:pPr>
      <w:r>
        <w:rPr>
          <w:bCs/>
          <w:color w:val="000000"/>
          <w:szCs w:val="24"/>
          <w:lang w:eastAsia="ko-KR"/>
        </w:rPr>
        <w:t>tvarkos aprašo</w:t>
      </w:r>
    </w:p>
    <w:p w14:paraId="70D4236E" w14:textId="77777777" w:rsidR="003B7E8B" w:rsidRDefault="00B7406C" w:rsidP="00850169">
      <w:pPr>
        <w:widowControl w:val="0"/>
        <w:ind w:firstLine="5387"/>
        <w:rPr>
          <w:bCs/>
          <w:color w:val="000000"/>
          <w:szCs w:val="24"/>
          <w:lang w:eastAsia="ko-KR"/>
        </w:rPr>
      </w:pPr>
      <w:r>
        <w:rPr>
          <w:bCs/>
          <w:color w:val="000000"/>
          <w:szCs w:val="24"/>
          <w:lang w:eastAsia="ko-KR"/>
        </w:rPr>
        <w:t>2</w:t>
      </w:r>
      <w:r>
        <w:rPr>
          <w:bCs/>
          <w:color w:val="000000"/>
          <w:szCs w:val="24"/>
          <w:lang w:eastAsia="ko-KR"/>
        </w:rPr>
        <w:t xml:space="preserve"> priedas</w:t>
      </w:r>
    </w:p>
    <w:p w14:paraId="1560200F" w14:textId="77777777" w:rsidR="003B7E8B" w:rsidRDefault="003B7E8B">
      <w:pPr>
        <w:widowControl w:val="0"/>
        <w:ind w:left="5670"/>
        <w:rPr>
          <w:bCs/>
          <w:color w:val="000000"/>
          <w:szCs w:val="24"/>
          <w:lang w:eastAsia="ko-KR"/>
        </w:rPr>
      </w:pPr>
    </w:p>
    <w:p w14:paraId="23BAA4E9" w14:textId="77777777" w:rsidR="003B7E8B" w:rsidRDefault="003B7E8B">
      <w:pPr>
        <w:widowControl w:val="0"/>
        <w:ind w:left="5670"/>
        <w:rPr>
          <w:bCs/>
          <w:color w:val="000000"/>
          <w:szCs w:val="24"/>
          <w:lang w:eastAsia="ko-KR"/>
        </w:rPr>
      </w:pPr>
    </w:p>
    <w:p w14:paraId="4A5540BB" w14:textId="77777777" w:rsidR="003B7E8B" w:rsidRDefault="00B7406C">
      <w:pPr>
        <w:tabs>
          <w:tab w:val="center" w:pos="4680"/>
          <w:tab w:val="right" w:pos="9360"/>
        </w:tabs>
        <w:spacing w:line="279" w:lineRule="auto"/>
        <w:jc w:val="center"/>
        <w:rPr>
          <w:b/>
          <w:bCs/>
          <w:color w:val="000000"/>
          <w:szCs w:val="24"/>
          <w:lang w:eastAsia="ja-JP"/>
        </w:rPr>
      </w:pPr>
      <w:r>
        <w:rPr>
          <w:b/>
          <w:bCs/>
          <w:color w:val="000000"/>
          <w:szCs w:val="24"/>
          <w:lang w:eastAsia="ja-JP"/>
        </w:rPr>
        <w:t>(Sutarties dėl tikslinių kompetencijų ugdymo palydimosios subsidijos skyrimo forma)</w:t>
      </w:r>
    </w:p>
    <w:p w14:paraId="43A127B7" w14:textId="77777777" w:rsidR="003B7E8B" w:rsidRDefault="003B7E8B">
      <w:pPr>
        <w:tabs>
          <w:tab w:val="center" w:pos="4680"/>
          <w:tab w:val="right" w:pos="9360"/>
        </w:tabs>
        <w:spacing w:line="279" w:lineRule="auto"/>
        <w:jc w:val="center"/>
        <w:rPr>
          <w:b/>
          <w:bCs/>
          <w:color w:val="000000"/>
          <w:szCs w:val="24"/>
          <w:lang w:eastAsia="ja-JP"/>
        </w:rPr>
      </w:pPr>
    </w:p>
    <w:p w14:paraId="187D72E5" w14:textId="77777777" w:rsidR="003B7E8B" w:rsidRDefault="00B7406C">
      <w:pPr>
        <w:tabs>
          <w:tab w:val="center" w:pos="4680"/>
          <w:tab w:val="right" w:pos="9360"/>
        </w:tabs>
        <w:spacing w:line="279" w:lineRule="auto"/>
        <w:jc w:val="center"/>
        <w:rPr>
          <w:b/>
          <w:bCs/>
          <w:color w:val="000000"/>
          <w:szCs w:val="24"/>
          <w:lang w:eastAsia="ja-JP"/>
        </w:rPr>
      </w:pPr>
      <w:r>
        <w:rPr>
          <w:b/>
          <w:bCs/>
          <w:color w:val="000000"/>
          <w:szCs w:val="24"/>
          <w:lang w:eastAsia="ja-JP"/>
        </w:rPr>
        <w:t>SUTARTIS DĖL TIKSLINIŲ KOMPETENCIJŲ UGDYMO PALYDIMOSIOS SUBSIDIJOS SKYRIMO</w:t>
      </w:r>
    </w:p>
    <w:p w14:paraId="1FAD85BF" w14:textId="77777777" w:rsidR="003B7E8B" w:rsidRDefault="003B7E8B">
      <w:pPr>
        <w:tabs>
          <w:tab w:val="center" w:pos="4680"/>
          <w:tab w:val="right" w:pos="9360"/>
        </w:tabs>
        <w:spacing w:line="279" w:lineRule="auto"/>
        <w:jc w:val="center"/>
        <w:rPr>
          <w:color w:val="000000"/>
          <w:szCs w:val="24"/>
          <w:lang w:eastAsia="ja-JP"/>
        </w:rPr>
      </w:pPr>
    </w:p>
    <w:tbl>
      <w:tblPr>
        <w:tblW w:w="9918"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auto"/>
        </w:tblBorders>
        <w:tblLook w:val="04A0" w:firstRow="1" w:lastRow="0" w:firstColumn="1" w:lastColumn="0" w:noHBand="0" w:noVBand="1"/>
      </w:tblPr>
      <w:tblGrid>
        <w:gridCol w:w="5382"/>
        <w:gridCol w:w="4536"/>
      </w:tblGrid>
      <w:tr w:rsidR="003B7E8B" w14:paraId="25C77B65" w14:textId="77777777">
        <w:tc>
          <w:tcPr>
            <w:tcW w:w="5382" w:type="dxa"/>
            <w:tcBorders>
              <w:top w:val="single" w:sz="4" w:space="0" w:color="000000" w:themeColor="text1"/>
              <w:left w:val="single" w:sz="4" w:space="0" w:color="000000" w:themeColor="text1"/>
              <w:bottom w:val="single" w:sz="4" w:space="0" w:color="000000" w:themeColor="text1"/>
            </w:tcBorders>
          </w:tcPr>
          <w:p w14:paraId="5EF0BFF6" w14:textId="77777777" w:rsidR="003B7E8B" w:rsidRDefault="00B7406C">
            <w:pPr>
              <w:rPr>
                <w:b/>
                <w:bCs/>
                <w:szCs w:val="24"/>
                <w:lang w:eastAsia="ja-JP"/>
              </w:rPr>
            </w:pPr>
            <w:r>
              <w:rPr>
                <w:b/>
                <w:bCs/>
                <w:szCs w:val="24"/>
                <w:lang w:eastAsia="ja-JP"/>
              </w:rPr>
              <w:t>Finansavimo sutartis Nr.</w:t>
            </w:r>
            <w:r>
              <w:rPr>
                <w:szCs w:val="24"/>
                <w:lang w:eastAsia="ja-JP"/>
              </w:rPr>
              <w:t xml:space="preserve"> </w:t>
            </w:r>
          </w:p>
        </w:tc>
        <w:tc>
          <w:tcPr>
            <w:tcW w:w="4536" w:type="dxa"/>
            <w:tcBorders>
              <w:top w:val="single" w:sz="4" w:space="0" w:color="000000" w:themeColor="text1"/>
              <w:bottom w:val="single" w:sz="4" w:space="0" w:color="000000" w:themeColor="text1"/>
              <w:right w:val="single" w:sz="4" w:space="0" w:color="auto"/>
            </w:tcBorders>
          </w:tcPr>
          <w:p w14:paraId="55011675" w14:textId="77777777" w:rsidR="003B7E8B" w:rsidRDefault="00B7406C">
            <w:pPr>
              <w:keepNext/>
              <w:rPr>
                <w:szCs w:val="24"/>
              </w:rPr>
            </w:pPr>
            <w:r>
              <w:rPr>
                <w:szCs w:val="24"/>
              </w:rPr>
              <w:t xml:space="preserve">202__ m.                        </w:t>
            </w:r>
            <w:r>
              <w:rPr>
                <w:szCs w:val="24"/>
                <w:bdr w:val="single" w:sz="4" w:space="0" w:color="auto"/>
              </w:rPr>
              <w:t xml:space="preserve">    </w:t>
            </w:r>
            <w:r>
              <w:rPr>
                <w:szCs w:val="24"/>
              </w:rPr>
              <w:t xml:space="preserve"> d., Vilnius</w:t>
            </w:r>
          </w:p>
        </w:tc>
      </w:tr>
    </w:tbl>
    <w:p w14:paraId="70D592F4" w14:textId="77777777" w:rsidR="003B7E8B" w:rsidRDefault="00B7406C">
      <w:pPr>
        <w:rPr>
          <w:szCs w:val="24"/>
          <w:lang w:eastAsia="ja-JP"/>
        </w:rPr>
      </w:pPr>
    </w:p>
    <w:tbl>
      <w:tblPr>
        <w:tblW w:w="9918"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auto"/>
        </w:tblBorders>
        <w:tblLayout w:type="fixed"/>
        <w:tblLook w:val="04A0" w:firstRow="1" w:lastRow="0" w:firstColumn="1" w:lastColumn="0" w:noHBand="0" w:noVBand="1"/>
      </w:tblPr>
      <w:tblGrid>
        <w:gridCol w:w="3681"/>
        <w:gridCol w:w="1701"/>
        <w:gridCol w:w="4536"/>
      </w:tblGrid>
      <w:tr w:rsidR="003B7E8B" w14:paraId="7FB2D27D" w14:textId="77777777">
        <w:tc>
          <w:tcPr>
            <w:tcW w:w="5382" w:type="dxa"/>
            <w:gridSpan w:val="2"/>
            <w:tcBorders>
              <w:top w:val="single" w:sz="4" w:space="0" w:color="auto"/>
              <w:left w:val="single" w:sz="4" w:space="0" w:color="auto"/>
              <w:bottom w:val="single" w:sz="4" w:space="0" w:color="auto"/>
            </w:tcBorders>
          </w:tcPr>
          <w:p w14:paraId="4C737C7F" w14:textId="77777777" w:rsidR="003B7E8B" w:rsidRDefault="00B7406C">
            <w:pPr>
              <w:keepNext/>
              <w:rPr>
                <w:bCs/>
                <w:szCs w:val="24"/>
              </w:rPr>
            </w:pPr>
            <w:r>
              <w:rPr>
                <w:b/>
                <w:bCs/>
                <w:szCs w:val="24"/>
              </w:rPr>
              <w:t>Agentūra:</w:t>
            </w:r>
          </w:p>
        </w:tc>
        <w:tc>
          <w:tcPr>
            <w:tcW w:w="4536" w:type="dxa"/>
            <w:tcBorders>
              <w:top w:val="single" w:sz="4" w:space="0" w:color="auto"/>
              <w:bottom w:val="single" w:sz="4" w:space="0" w:color="auto"/>
              <w:right w:val="single" w:sz="4" w:space="0" w:color="auto"/>
            </w:tcBorders>
          </w:tcPr>
          <w:p w14:paraId="057BF6AC" w14:textId="77777777" w:rsidR="003B7E8B" w:rsidRDefault="00B7406C">
            <w:pPr>
              <w:keepNext/>
              <w:rPr>
                <w:b/>
                <w:bCs/>
                <w:szCs w:val="24"/>
              </w:rPr>
            </w:pPr>
            <w:r>
              <w:rPr>
                <w:b/>
                <w:bCs/>
                <w:szCs w:val="24"/>
              </w:rPr>
              <w:t>Subsidijos gavėjas:</w:t>
            </w:r>
          </w:p>
        </w:tc>
      </w:tr>
      <w:tr w:rsidR="003B7E8B" w14:paraId="29197EB1" w14:textId="77777777">
        <w:tc>
          <w:tcPr>
            <w:tcW w:w="5382" w:type="dxa"/>
            <w:gridSpan w:val="2"/>
            <w:tcBorders>
              <w:top w:val="single" w:sz="4" w:space="0" w:color="auto"/>
              <w:left w:val="single" w:sz="4" w:space="0" w:color="auto"/>
              <w:bottom w:val="single" w:sz="4" w:space="0" w:color="auto"/>
              <w:right w:val="single" w:sz="4" w:space="0" w:color="auto"/>
            </w:tcBorders>
          </w:tcPr>
          <w:p w14:paraId="0A41F37C" w14:textId="77777777" w:rsidR="003B7E8B" w:rsidRDefault="00B7406C">
            <w:pPr>
              <w:jc w:val="both"/>
              <w:rPr>
                <w:b/>
                <w:szCs w:val="24"/>
                <w:lang w:eastAsia="ja-JP"/>
              </w:rPr>
            </w:pPr>
            <w:r>
              <w:rPr>
                <w:b/>
                <w:szCs w:val="24"/>
                <w:lang w:eastAsia="ja-JP"/>
              </w:rPr>
              <w:t>Viešoji įstaiga Inovacijų agentūra</w:t>
            </w:r>
          </w:p>
          <w:p w14:paraId="1F268915" w14:textId="77777777" w:rsidR="003B7E8B" w:rsidRDefault="00B7406C">
            <w:pPr>
              <w:jc w:val="both"/>
              <w:rPr>
                <w:lang w:eastAsia="ja-JP"/>
              </w:rPr>
            </w:pPr>
            <w:r>
              <w:rPr>
                <w:lang w:eastAsia="ja-JP"/>
              </w:rPr>
              <w:t xml:space="preserve">Įmonės kodas 125447177 </w:t>
            </w:r>
          </w:p>
          <w:p w14:paraId="2465A47A" w14:textId="77777777" w:rsidR="003B7E8B" w:rsidRDefault="00B7406C">
            <w:pPr>
              <w:jc w:val="both"/>
              <w:rPr>
                <w:lang w:eastAsia="ja-JP"/>
              </w:rPr>
            </w:pPr>
            <w:r>
              <w:rPr>
                <w:lang w:eastAsia="ja-JP"/>
              </w:rPr>
              <w:t>PVM mokėtojo kodas LT254471716</w:t>
            </w:r>
          </w:p>
          <w:p w14:paraId="6A63987C" w14:textId="77777777" w:rsidR="003B7E8B" w:rsidRDefault="00B7406C">
            <w:pPr>
              <w:rPr>
                <w:szCs w:val="24"/>
                <w:lang w:eastAsia="ja-JP"/>
              </w:rPr>
            </w:pPr>
            <w:r>
              <w:rPr>
                <w:szCs w:val="24"/>
                <w:lang w:eastAsia="ja-JP"/>
              </w:rPr>
              <w:t>J. Balčikonio g. 3, LT-08247, Vilnius</w:t>
            </w:r>
          </w:p>
          <w:p w14:paraId="09DDC7C8" w14:textId="77777777" w:rsidR="003B7E8B" w:rsidRDefault="00B7406C">
            <w:pPr>
              <w:rPr>
                <w:szCs w:val="24"/>
                <w:lang w:eastAsia="ja-JP"/>
              </w:rPr>
            </w:pPr>
            <w:r>
              <w:rPr>
                <w:szCs w:val="24"/>
                <w:lang w:eastAsia="ja-JP"/>
              </w:rPr>
              <w:t>Tel. + 370 700 77 055</w:t>
            </w:r>
          </w:p>
          <w:p w14:paraId="1C460B5D" w14:textId="77777777" w:rsidR="003B7E8B" w:rsidRDefault="00B7406C">
            <w:pPr>
              <w:rPr>
                <w:color w:val="467886"/>
                <w:szCs w:val="24"/>
                <w:u w:val="single"/>
                <w:lang w:eastAsia="ja-JP"/>
              </w:rPr>
            </w:pPr>
            <w:r>
              <w:rPr>
                <w:szCs w:val="24"/>
                <w:lang w:eastAsia="ja-JP"/>
              </w:rPr>
              <w:t>El. paštas info@inovacijuagentura.lt</w:t>
            </w:r>
          </w:p>
          <w:p w14:paraId="462EC21B" w14:textId="77777777" w:rsidR="003B7E8B" w:rsidRDefault="00B7406C">
            <w:pPr>
              <w:rPr>
                <w:color w:val="000000"/>
                <w:szCs w:val="24"/>
                <w:u w:val="single"/>
                <w:lang w:eastAsia="ja-JP"/>
              </w:rPr>
            </w:pPr>
            <w:r>
              <w:rPr>
                <w:szCs w:val="24"/>
                <w:lang w:eastAsia="ja-JP"/>
              </w:rPr>
              <w:t xml:space="preserve">Sąskaitos Nr. </w:t>
            </w:r>
          </w:p>
          <w:p w14:paraId="0AD95F0D" w14:textId="77777777" w:rsidR="003B7E8B" w:rsidRDefault="003B7E8B">
            <w:pPr>
              <w:rPr>
                <w:szCs w:val="24"/>
                <w:lang w:eastAsia="ja-JP"/>
              </w:rPr>
            </w:pPr>
          </w:p>
        </w:tc>
        <w:tc>
          <w:tcPr>
            <w:tcW w:w="4536" w:type="dxa"/>
            <w:tcBorders>
              <w:top w:val="single" w:sz="4" w:space="0" w:color="auto"/>
              <w:left w:val="single" w:sz="4" w:space="0" w:color="auto"/>
              <w:bottom w:val="single" w:sz="4" w:space="0" w:color="auto"/>
              <w:right w:val="single" w:sz="4" w:space="0" w:color="auto"/>
            </w:tcBorders>
          </w:tcPr>
          <w:p w14:paraId="50203603" w14:textId="77777777" w:rsidR="003B7E8B" w:rsidRDefault="00B7406C">
            <w:pPr>
              <w:jc w:val="both"/>
              <w:textAlignment w:val="baseline"/>
              <w:rPr>
                <w:i/>
                <w:iCs/>
                <w:szCs w:val="24"/>
                <w:lang w:eastAsia="lt-LT"/>
              </w:rPr>
            </w:pPr>
            <w:r>
              <w:rPr>
                <w:i/>
                <w:iCs/>
                <w:szCs w:val="24"/>
                <w:lang w:eastAsia="lt-LT"/>
              </w:rPr>
              <w:t>Juridinio asmens pavadinimas</w:t>
            </w:r>
          </w:p>
          <w:p w14:paraId="7EC4E515" w14:textId="77777777" w:rsidR="003B7E8B" w:rsidRDefault="00B7406C">
            <w:pPr>
              <w:jc w:val="both"/>
              <w:textAlignment w:val="baseline"/>
              <w:rPr>
                <w:szCs w:val="24"/>
                <w:lang w:eastAsia="lt-LT"/>
              </w:rPr>
            </w:pPr>
            <w:r>
              <w:rPr>
                <w:szCs w:val="24"/>
                <w:lang w:eastAsia="lt-LT"/>
              </w:rPr>
              <w:t xml:space="preserve">Įmonės kodas </w:t>
            </w:r>
          </w:p>
          <w:p w14:paraId="62954838" w14:textId="77777777" w:rsidR="003B7E8B" w:rsidRDefault="00B7406C">
            <w:pPr>
              <w:jc w:val="both"/>
              <w:textAlignment w:val="baseline"/>
              <w:rPr>
                <w:szCs w:val="24"/>
                <w:lang w:eastAsia="lt-LT"/>
              </w:rPr>
            </w:pPr>
            <w:r>
              <w:rPr>
                <w:szCs w:val="24"/>
                <w:lang w:eastAsia="lt-LT"/>
              </w:rPr>
              <w:t>PVM mokėtojo kodas</w:t>
            </w:r>
          </w:p>
          <w:p w14:paraId="14007446" w14:textId="77777777" w:rsidR="003B7E8B" w:rsidRDefault="00B7406C">
            <w:pPr>
              <w:textAlignment w:val="baseline"/>
              <w:rPr>
                <w:i/>
                <w:iCs/>
                <w:szCs w:val="24"/>
                <w:lang w:eastAsia="lt-LT"/>
              </w:rPr>
            </w:pPr>
            <w:r>
              <w:rPr>
                <w:i/>
                <w:iCs/>
                <w:szCs w:val="24"/>
                <w:lang w:eastAsia="lt-LT"/>
              </w:rPr>
              <w:t>Adresas</w:t>
            </w:r>
          </w:p>
          <w:p w14:paraId="7079526E" w14:textId="77777777" w:rsidR="003B7E8B" w:rsidRDefault="00B7406C">
            <w:pPr>
              <w:textAlignment w:val="baseline"/>
              <w:rPr>
                <w:szCs w:val="24"/>
                <w:lang w:eastAsia="lt-LT"/>
              </w:rPr>
            </w:pPr>
            <w:r>
              <w:rPr>
                <w:szCs w:val="24"/>
                <w:lang w:eastAsia="lt-LT"/>
              </w:rPr>
              <w:t>Tel.</w:t>
            </w:r>
          </w:p>
          <w:p w14:paraId="795C3E38" w14:textId="77777777" w:rsidR="003B7E8B" w:rsidRDefault="00B7406C">
            <w:pPr>
              <w:textAlignment w:val="baseline"/>
              <w:rPr>
                <w:szCs w:val="24"/>
                <w:lang w:eastAsia="lt-LT"/>
              </w:rPr>
            </w:pPr>
            <w:r>
              <w:rPr>
                <w:szCs w:val="24"/>
                <w:lang w:eastAsia="lt-LT"/>
              </w:rPr>
              <w:t xml:space="preserve">El. paštas </w:t>
            </w:r>
          </w:p>
          <w:p w14:paraId="62CBD8B6" w14:textId="77777777" w:rsidR="003B7E8B" w:rsidRDefault="00B7406C">
            <w:pPr>
              <w:textAlignment w:val="baseline"/>
              <w:rPr>
                <w:szCs w:val="24"/>
                <w:highlight w:val="yellow"/>
                <w:lang w:eastAsia="lt-LT"/>
              </w:rPr>
            </w:pPr>
            <w:r>
              <w:rPr>
                <w:szCs w:val="24"/>
                <w:lang w:eastAsia="lt-LT"/>
              </w:rPr>
              <w:t>Sąskaitos Nr.</w:t>
            </w:r>
          </w:p>
          <w:p w14:paraId="4145AD63" w14:textId="77777777" w:rsidR="003B7E8B" w:rsidRDefault="00B7406C">
            <w:pPr>
              <w:jc w:val="both"/>
              <w:textAlignment w:val="baseline"/>
              <w:rPr>
                <w:szCs w:val="24"/>
                <w:highlight w:val="yellow"/>
                <w:lang w:eastAsia="lt-LT"/>
              </w:rPr>
            </w:pPr>
            <w:r>
              <w:rPr>
                <w:szCs w:val="24"/>
                <w:lang w:eastAsia="lt-LT"/>
              </w:rPr>
              <w:t xml:space="preserve">Banko kodas </w:t>
            </w:r>
          </w:p>
        </w:tc>
      </w:tr>
      <w:tr w:rsidR="003B7E8B" w14:paraId="65713560" w14:textId="77777777">
        <w:tc>
          <w:tcPr>
            <w:tcW w:w="9918" w:type="dxa"/>
            <w:gridSpan w:val="3"/>
            <w:tcBorders>
              <w:top w:val="single" w:sz="4" w:space="0" w:color="auto"/>
              <w:left w:val="nil"/>
              <w:bottom w:val="single" w:sz="4" w:space="0" w:color="auto"/>
              <w:right w:val="nil"/>
            </w:tcBorders>
          </w:tcPr>
          <w:p w14:paraId="521E09F7" w14:textId="77777777" w:rsidR="003B7E8B" w:rsidRDefault="003B7E8B">
            <w:pPr>
              <w:jc w:val="both"/>
              <w:rPr>
                <w:rFonts w:eastAsia="Calibri"/>
                <w:b/>
                <w:szCs w:val="24"/>
                <w:highlight w:val="yellow"/>
              </w:rPr>
            </w:pPr>
          </w:p>
        </w:tc>
      </w:tr>
      <w:tr w:rsidR="003B7E8B" w14:paraId="418D6F83" w14:textId="77777777">
        <w:tc>
          <w:tcPr>
            <w:tcW w:w="3681" w:type="dxa"/>
            <w:tcBorders>
              <w:top w:val="single" w:sz="4" w:space="0" w:color="auto"/>
              <w:left w:val="single" w:sz="4" w:space="0" w:color="auto"/>
              <w:bottom w:val="single" w:sz="4" w:space="0" w:color="auto"/>
              <w:right w:val="single" w:sz="4" w:space="0" w:color="auto"/>
            </w:tcBorders>
          </w:tcPr>
          <w:p w14:paraId="43198C40" w14:textId="77777777" w:rsidR="003B7E8B" w:rsidRDefault="00B7406C">
            <w:pPr>
              <w:jc w:val="both"/>
              <w:rPr>
                <w:rFonts w:eastAsia="Calibri"/>
                <w:b/>
                <w:szCs w:val="24"/>
              </w:rPr>
            </w:pPr>
            <w:r>
              <w:rPr>
                <w:rFonts w:eastAsia="Calibri"/>
                <w:b/>
                <w:szCs w:val="24"/>
              </w:rPr>
              <w:t>Sutarties pagrindas</w:t>
            </w:r>
          </w:p>
        </w:tc>
        <w:tc>
          <w:tcPr>
            <w:tcW w:w="6237" w:type="dxa"/>
            <w:gridSpan w:val="2"/>
            <w:tcBorders>
              <w:top w:val="single" w:sz="4" w:space="0" w:color="auto"/>
              <w:left w:val="single" w:sz="4" w:space="0" w:color="auto"/>
              <w:bottom w:val="single" w:sz="4" w:space="0" w:color="auto"/>
              <w:right w:val="single" w:sz="4" w:space="0" w:color="auto"/>
            </w:tcBorders>
          </w:tcPr>
          <w:p w14:paraId="46264E10" w14:textId="77777777" w:rsidR="003B7E8B" w:rsidRDefault="00B7406C">
            <w:pPr>
              <w:jc w:val="both"/>
              <w:textAlignment w:val="baseline"/>
              <w:rPr>
                <w:lang w:eastAsia="lt-LT"/>
              </w:rPr>
            </w:pPr>
            <w:r>
              <w:rPr>
                <w:color w:val="000000"/>
                <w:lang w:eastAsia="lt-LT"/>
              </w:rPr>
              <w:t>Tikslinių kompetencijų ugdymo palydimųjų subsidijų verslui skyrimo ir administravimo tvarkos aprašas, patvirtintas 20__ m. _____________ d. įsakymu Nr. _______ (toliau – Aprašas).</w:t>
            </w:r>
          </w:p>
          <w:p w14:paraId="468D9B59" w14:textId="77777777" w:rsidR="003B7E8B" w:rsidRDefault="00B7406C">
            <w:pPr>
              <w:jc w:val="both"/>
              <w:rPr>
                <w:szCs w:val="24"/>
                <w:lang w:eastAsia="ja-JP"/>
              </w:rPr>
            </w:pPr>
            <w:r>
              <w:rPr>
                <w:color w:val="000000"/>
                <w:szCs w:val="24"/>
                <w:lang w:eastAsia="ja-JP"/>
              </w:rPr>
              <w:t>Lietuvos Respublikos ekonomikos ir inovacijų ministro 20__ m. _______________ d. įsakymas Nr. ____________ (toliau – Įsakymas). </w:t>
            </w:r>
          </w:p>
        </w:tc>
      </w:tr>
      <w:tr w:rsidR="003B7E8B" w14:paraId="59419D15" w14:textId="77777777">
        <w:tc>
          <w:tcPr>
            <w:tcW w:w="3681" w:type="dxa"/>
            <w:tcBorders>
              <w:top w:val="single" w:sz="4" w:space="0" w:color="auto"/>
              <w:left w:val="single" w:sz="4" w:space="0" w:color="000000" w:themeColor="text1"/>
              <w:bottom w:val="single" w:sz="4" w:space="0" w:color="000000" w:themeColor="text1"/>
            </w:tcBorders>
          </w:tcPr>
          <w:p w14:paraId="69FBC7AF" w14:textId="77777777" w:rsidR="003B7E8B" w:rsidRDefault="00B7406C">
            <w:pPr>
              <w:jc w:val="both"/>
              <w:rPr>
                <w:rFonts w:eastAsia="Calibri"/>
                <w:b/>
                <w:szCs w:val="24"/>
              </w:rPr>
            </w:pPr>
            <w:r>
              <w:rPr>
                <w:rFonts w:eastAsia="Calibri"/>
                <w:b/>
                <w:szCs w:val="24"/>
              </w:rPr>
              <w:t>Veikla</w:t>
            </w:r>
          </w:p>
        </w:tc>
        <w:tc>
          <w:tcPr>
            <w:tcW w:w="6237" w:type="dxa"/>
            <w:gridSpan w:val="2"/>
            <w:tcBorders>
              <w:top w:val="single" w:sz="4" w:space="0" w:color="auto"/>
              <w:bottom w:val="single" w:sz="4" w:space="0" w:color="auto"/>
              <w:right w:val="single" w:sz="4" w:space="0" w:color="000000" w:themeColor="text1"/>
            </w:tcBorders>
          </w:tcPr>
          <w:p w14:paraId="7B286F45" w14:textId="77777777" w:rsidR="003B7E8B" w:rsidRDefault="00B7406C">
            <w:pPr>
              <w:jc w:val="both"/>
              <w:rPr>
                <w:lang w:eastAsia="ja-JP"/>
              </w:rPr>
            </w:pPr>
            <w:r>
              <w:rPr>
                <w:lang w:eastAsia="ja-JP"/>
              </w:rPr>
              <w:t xml:space="preserve">Lietuvos Respublikos ekonomikos ir inovacijų ministro įsakymu skirta subsidija. </w:t>
            </w:r>
          </w:p>
        </w:tc>
      </w:tr>
      <w:tr w:rsidR="003B7E8B" w14:paraId="1E29BD27" w14:textId="77777777">
        <w:trPr>
          <w:trHeight w:val="825"/>
        </w:trPr>
        <w:tc>
          <w:tcPr>
            <w:tcW w:w="3681" w:type="dxa"/>
            <w:tcBorders>
              <w:top w:val="single" w:sz="4" w:space="0" w:color="000000" w:themeColor="text1"/>
              <w:left w:val="single" w:sz="4" w:space="0" w:color="000000" w:themeColor="text1"/>
              <w:bottom w:val="single" w:sz="4" w:space="0" w:color="000000" w:themeColor="text1"/>
            </w:tcBorders>
          </w:tcPr>
          <w:p w14:paraId="45340193" w14:textId="77777777" w:rsidR="003B7E8B" w:rsidRDefault="00B7406C">
            <w:pPr>
              <w:jc w:val="both"/>
              <w:rPr>
                <w:rFonts w:eastAsia="Calibri"/>
                <w:b/>
                <w:szCs w:val="24"/>
              </w:rPr>
            </w:pPr>
            <w:r>
              <w:rPr>
                <w:rFonts w:eastAsia="Calibri"/>
                <w:b/>
                <w:szCs w:val="24"/>
              </w:rPr>
              <w:t>Skiriamos lėšos</w:t>
            </w:r>
          </w:p>
        </w:tc>
        <w:tc>
          <w:tcPr>
            <w:tcW w:w="6237" w:type="dxa"/>
            <w:gridSpan w:val="2"/>
            <w:tcBorders>
              <w:top w:val="single" w:sz="4" w:space="0" w:color="auto"/>
              <w:bottom w:val="single" w:sz="4" w:space="0" w:color="auto"/>
              <w:right w:val="single" w:sz="4" w:space="0" w:color="auto"/>
            </w:tcBorders>
          </w:tcPr>
          <w:p w14:paraId="772D4129" w14:textId="77777777" w:rsidR="003B7E8B" w:rsidRDefault="00B7406C">
            <w:pPr>
              <w:jc w:val="both"/>
              <w:rPr>
                <w:rFonts w:eastAsia="Calibri"/>
                <w:b/>
                <w:szCs w:val="24"/>
              </w:rPr>
            </w:pPr>
            <w:r>
              <w:rPr>
                <w:rFonts w:eastAsia="Calibri"/>
                <w:szCs w:val="24"/>
              </w:rPr>
              <w:t xml:space="preserve">Negrąžinamoji subsidija – __________ </w:t>
            </w:r>
            <w:r>
              <w:rPr>
                <w:rFonts w:eastAsia="Calibri"/>
                <w:b/>
                <w:szCs w:val="24"/>
              </w:rPr>
              <w:t xml:space="preserve">Eur (_____________ eurų, ____ ct) </w:t>
            </w:r>
            <w:r>
              <w:rPr>
                <w:rFonts w:eastAsia="Calibri"/>
                <w:i/>
                <w:szCs w:val="24"/>
              </w:rPr>
              <w:t>(___ proc. tinkamų finansuoti išlaidų) (de </w:t>
            </w:r>
            <w:proofErr w:type="spellStart"/>
            <w:r>
              <w:rPr>
                <w:rFonts w:eastAsia="Calibri"/>
                <w:i/>
                <w:szCs w:val="24"/>
              </w:rPr>
              <w:t>minimis</w:t>
            </w:r>
            <w:proofErr w:type="spellEnd"/>
            <w:r>
              <w:rPr>
                <w:rFonts w:eastAsia="Calibri"/>
                <w:i/>
                <w:szCs w:val="24"/>
              </w:rPr>
              <w:t xml:space="preserve"> pagalba). </w:t>
            </w:r>
          </w:p>
        </w:tc>
      </w:tr>
      <w:tr w:rsidR="003B7E8B" w14:paraId="47D64A99" w14:textId="77777777">
        <w:tc>
          <w:tcPr>
            <w:tcW w:w="3681" w:type="dxa"/>
            <w:tcBorders>
              <w:top w:val="single" w:sz="4" w:space="0" w:color="000000" w:themeColor="text1"/>
              <w:left w:val="single" w:sz="4" w:space="0" w:color="000000" w:themeColor="text1"/>
              <w:bottom w:val="single" w:sz="4" w:space="0" w:color="000000" w:themeColor="text1"/>
            </w:tcBorders>
          </w:tcPr>
          <w:p w14:paraId="424A535D" w14:textId="77777777" w:rsidR="003B7E8B" w:rsidRDefault="00B7406C">
            <w:pPr>
              <w:jc w:val="both"/>
              <w:rPr>
                <w:rFonts w:eastAsia="Calibri"/>
                <w:b/>
                <w:bCs/>
                <w:szCs w:val="24"/>
              </w:rPr>
            </w:pPr>
            <w:r>
              <w:rPr>
                <w:rFonts w:eastAsia="Calibri"/>
                <w:b/>
                <w:bCs/>
                <w:szCs w:val="24"/>
              </w:rPr>
              <w:t>Veiklos įgyvendinimo ir išlaidų tinkamumo laikotarpis</w:t>
            </w:r>
          </w:p>
        </w:tc>
        <w:tc>
          <w:tcPr>
            <w:tcW w:w="6237" w:type="dxa"/>
            <w:gridSpan w:val="2"/>
            <w:tcBorders>
              <w:top w:val="single" w:sz="4" w:space="0" w:color="auto"/>
              <w:bottom w:val="single" w:sz="4" w:space="0" w:color="auto"/>
              <w:right w:val="single" w:sz="4" w:space="0" w:color="auto"/>
            </w:tcBorders>
          </w:tcPr>
          <w:p w14:paraId="386CFA97" w14:textId="77777777" w:rsidR="003B7E8B" w:rsidRDefault="00B7406C">
            <w:pPr>
              <w:jc w:val="both"/>
              <w:rPr>
                <w:rFonts w:eastAsia="Calibri"/>
                <w:szCs w:val="24"/>
              </w:rPr>
            </w:pPr>
            <w:r>
              <w:rPr>
                <w:rFonts w:eastAsia="Calibri"/>
                <w:szCs w:val="24"/>
              </w:rPr>
              <w:t xml:space="preserve">Laikotarpis, kurio metu turi būti įgyvendintos veiklos ir pasiektas rezultatas, bei patirtos ir apmokėtos išlaidos yra pripažįstamos tinkamomis finansuoti pagal šią sutartį: </w:t>
            </w:r>
            <w:r>
              <w:rPr>
                <w:rFonts w:eastAsia="Calibri"/>
                <w:b/>
                <w:bCs/>
                <w:szCs w:val="24"/>
              </w:rPr>
              <w:t>______ m. _____________ d. – ____ m. ____________ d.</w:t>
            </w:r>
          </w:p>
        </w:tc>
      </w:tr>
      <w:tr w:rsidR="003B7E8B" w14:paraId="5BA50566" w14:textId="77777777">
        <w:tc>
          <w:tcPr>
            <w:tcW w:w="3681" w:type="dxa"/>
            <w:tcBorders>
              <w:top w:val="single" w:sz="4" w:space="0" w:color="000000" w:themeColor="text1"/>
              <w:left w:val="single" w:sz="4" w:space="0" w:color="000000" w:themeColor="text1"/>
              <w:bottom w:val="single" w:sz="4" w:space="0" w:color="000000" w:themeColor="text1"/>
            </w:tcBorders>
          </w:tcPr>
          <w:p w14:paraId="02F89DF6" w14:textId="77777777" w:rsidR="003B7E8B" w:rsidRDefault="00B7406C">
            <w:pPr>
              <w:jc w:val="both"/>
              <w:rPr>
                <w:rFonts w:eastAsia="Calibri"/>
                <w:b/>
                <w:szCs w:val="24"/>
                <w:highlight w:val="yellow"/>
              </w:rPr>
            </w:pPr>
            <w:r>
              <w:rPr>
                <w:rFonts w:eastAsia="Calibri"/>
                <w:b/>
                <w:szCs w:val="24"/>
              </w:rPr>
              <w:t>Sutarties galiojimas</w:t>
            </w:r>
          </w:p>
        </w:tc>
        <w:tc>
          <w:tcPr>
            <w:tcW w:w="6237" w:type="dxa"/>
            <w:gridSpan w:val="2"/>
            <w:tcBorders>
              <w:top w:val="single" w:sz="4" w:space="0" w:color="auto"/>
              <w:bottom w:val="single" w:sz="4" w:space="0" w:color="000000" w:themeColor="text1"/>
              <w:right w:val="single" w:sz="4" w:space="0" w:color="auto"/>
            </w:tcBorders>
          </w:tcPr>
          <w:p w14:paraId="16D099B2" w14:textId="77777777" w:rsidR="003B7E8B" w:rsidRDefault="00B7406C">
            <w:pPr>
              <w:jc w:val="both"/>
              <w:rPr>
                <w:rFonts w:eastAsia="Calibri"/>
                <w:szCs w:val="24"/>
              </w:rPr>
            </w:pPr>
            <w:r>
              <w:rPr>
                <w:rFonts w:eastAsia="Calibri"/>
                <w:szCs w:val="24"/>
              </w:rPr>
              <w:t>Ši sutartis įsigalioja ją pasirašius šalims ir galioja iki visiško šalių sutartinių įsipareigojimų įvykdymo, kurie turi būti įvykdyti ne vėliau kaip iki ____ m. ________________ d. arba šios sutarties nutraukimo.</w:t>
            </w:r>
          </w:p>
        </w:tc>
      </w:tr>
    </w:tbl>
    <w:p w14:paraId="64CD12B0" w14:textId="77777777" w:rsidR="003B7E8B" w:rsidRDefault="00B7406C">
      <w:pPr>
        <w:tabs>
          <w:tab w:val="left" w:pos="1271"/>
        </w:tabs>
        <w:ind w:firstLine="1271"/>
        <w:rPr>
          <w:b/>
          <w:szCs w:val="24"/>
          <w:lang w:eastAsia="ja-JP"/>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226"/>
        <w:gridCol w:w="453"/>
        <w:gridCol w:w="4834"/>
      </w:tblGrid>
      <w:tr w:rsidR="003B7E8B" w14:paraId="79FCAA68" w14:textId="77777777">
        <w:tc>
          <w:tcPr>
            <w:tcW w:w="2439" w:type="dxa"/>
            <w:tcBorders>
              <w:top w:val="single" w:sz="4" w:space="0" w:color="auto"/>
              <w:left w:val="single" w:sz="4" w:space="0" w:color="auto"/>
              <w:bottom w:val="single" w:sz="4" w:space="0" w:color="auto"/>
              <w:right w:val="single" w:sz="4" w:space="0" w:color="auto"/>
            </w:tcBorders>
          </w:tcPr>
          <w:p w14:paraId="2A52D4B6" w14:textId="77777777" w:rsidR="003B7E8B" w:rsidRDefault="00B7406C">
            <w:pPr>
              <w:ind w:right="119"/>
              <w:rPr>
                <w:b/>
                <w:szCs w:val="24"/>
                <w:lang w:eastAsia="ja-JP"/>
              </w:rPr>
            </w:pPr>
            <w:r>
              <w:rPr>
                <w:b/>
                <w:szCs w:val="24"/>
                <w:lang w:eastAsia="ja-JP"/>
              </w:rPr>
              <w:t>1. Sutarties objektas</w:t>
            </w:r>
          </w:p>
        </w:tc>
        <w:tc>
          <w:tcPr>
            <w:tcW w:w="7513" w:type="dxa"/>
            <w:gridSpan w:val="3"/>
            <w:tcBorders>
              <w:top w:val="single" w:sz="4" w:space="0" w:color="auto"/>
              <w:left w:val="single" w:sz="4" w:space="0" w:color="auto"/>
              <w:bottom w:val="single" w:sz="4" w:space="0" w:color="auto"/>
              <w:right w:val="single" w:sz="4" w:space="0" w:color="auto"/>
            </w:tcBorders>
          </w:tcPr>
          <w:p w14:paraId="46B71DBD" w14:textId="77777777" w:rsidR="003B7E8B" w:rsidRDefault="00B7406C">
            <w:pPr>
              <w:tabs>
                <w:tab w:val="left" w:pos="440"/>
              </w:tabs>
              <w:ind w:right="119"/>
              <w:jc w:val="both"/>
              <w:rPr>
                <w:szCs w:val="24"/>
                <w:lang w:eastAsia="ja-JP"/>
              </w:rPr>
            </w:pPr>
            <w:r>
              <w:rPr>
                <w:szCs w:val="24"/>
                <w:lang w:eastAsia="ja-JP"/>
              </w:rPr>
              <w:t>1.1. Subsidijos gavėjui skirto finansavimo Aprašo 1 priede nurodytai veiklai (toliau – veikla (-</w:t>
            </w:r>
            <w:proofErr w:type="spellStart"/>
            <w:r>
              <w:rPr>
                <w:szCs w:val="24"/>
                <w:lang w:eastAsia="ja-JP"/>
              </w:rPr>
              <w:t>os</w:t>
            </w:r>
            <w:proofErr w:type="spellEnd"/>
            <w:r>
              <w:rPr>
                <w:szCs w:val="24"/>
                <w:lang w:eastAsia="ja-JP"/>
              </w:rPr>
              <w:t>)) įgyvendinti išmokėjimo tvarka ir sąlygos bei šios sutarties pagrindu sutarties šalių prisiimami įsipareigojimai.</w:t>
            </w:r>
          </w:p>
        </w:tc>
      </w:tr>
      <w:tr w:rsidR="003B7E8B" w14:paraId="3D3F53A0" w14:textId="77777777">
        <w:tc>
          <w:tcPr>
            <w:tcW w:w="2439" w:type="dxa"/>
          </w:tcPr>
          <w:p w14:paraId="6D22544F" w14:textId="77777777" w:rsidR="003B7E8B" w:rsidRDefault="00B7406C">
            <w:pPr>
              <w:tabs>
                <w:tab w:val="left" w:pos="318"/>
                <w:tab w:val="left" w:pos="1219"/>
              </w:tabs>
              <w:ind w:right="119"/>
              <w:rPr>
                <w:b/>
                <w:szCs w:val="24"/>
                <w:lang w:eastAsia="ja-JP"/>
              </w:rPr>
            </w:pPr>
            <w:r>
              <w:rPr>
                <w:b/>
                <w:szCs w:val="24"/>
                <w:lang w:eastAsia="ja-JP"/>
              </w:rPr>
              <w:t>2. Agentūros teisės ir pareigos</w:t>
            </w:r>
          </w:p>
        </w:tc>
        <w:tc>
          <w:tcPr>
            <w:tcW w:w="7513" w:type="dxa"/>
            <w:gridSpan w:val="3"/>
          </w:tcPr>
          <w:p w14:paraId="590956B4" w14:textId="77777777" w:rsidR="003B7E8B" w:rsidRDefault="00B7406C">
            <w:pPr>
              <w:jc w:val="both"/>
              <w:rPr>
                <w:szCs w:val="24"/>
                <w:lang w:eastAsia="ja-JP"/>
              </w:rPr>
            </w:pPr>
            <w:r>
              <w:rPr>
                <w:szCs w:val="24"/>
                <w:lang w:eastAsia="ja-JP"/>
              </w:rPr>
              <w:t>2.1. Agentūra įsipareigoja:</w:t>
            </w:r>
          </w:p>
          <w:p w14:paraId="565028E8" w14:textId="77777777" w:rsidR="003B7E8B" w:rsidRDefault="00B7406C">
            <w:pPr>
              <w:tabs>
                <w:tab w:val="left" w:pos="564"/>
                <w:tab w:val="left" w:pos="730"/>
                <w:tab w:val="left" w:pos="933"/>
                <w:tab w:val="left" w:pos="1156"/>
              </w:tabs>
              <w:jc w:val="both"/>
              <w:rPr>
                <w:rFonts w:eastAsia="Calibri"/>
                <w:szCs w:val="24"/>
              </w:rPr>
            </w:pPr>
            <w:r>
              <w:rPr>
                <w:rFonts w:eastAsia="Calibri"/>
                <w:szCs w:val="24"/>
              </w:rPr>
              <w:t>2.1.1. laikytis Aprašo, įskaitant visus Aprašo pakeitimus, jeigu tokių bus, ir (arba) kitų galiojančių Lietuvos Respublikos teisės aktų, susijusių su šios sutarties vykdymu, reikalavimų;</w:t>
            </w:r>
          </w:p>
          <w:p w14:paraId="5C3E2D3D" w14:textId="77777777" w:rsidR="003B7E8B" w:rsidRDefault="00B7406C">
            <w:pPr>
              <w:tabs>
                <w:tab w:val="left" w:pos="564"/>
                <w:tab w:val="left" w:pos="730"/>
                <w:tab w:val="left" w:pos="933"/>
                <w:tab w:val="left" w:pos="1156"/>
              </w:tabs>
              <w:jc w:val="both"/>
              <w:rPr>
                <w:rFonts w:eastAsia="Calibri"/>
                <w:szCs w:val="24"/>
              </w:rPr>
            </w:pPr>
            <w:r>
              <w:rPr>
                <w:rFonts w:eastAsia="Calibri"/>
                <w:szCs w:val="24"/>
              </w:rPr>
              <w:t>2.1.2.</w:t>
            </w:r>
            <w:r>
              <w:rPr>
                <w:rFonts w:eastAsia="Calibri"/>
                <w:szCs w:val="24"/>
              </w:rPr>
              <w:tab/>
            </w:r>
            <w:r>
              <w:rPr>
                <w:rFonts w:eastAsia="Calibri"/>
                <w:szCs w:val="24"/>
              </w:rPr>
              <w:t xml:space="preserve">sekti šios sutarties vykdymo eigą ir pažangą, </w:t>
            </w:r>
            <w:r>
              <w:rPr>
                <w:szCs w:val="24"/>
                <w:lang w:eastAsia="ja-JP"/>
              </w:rPr>
              <w:t>Aprašo 1 priede</w:t>
            </w:r>
            <w:r>
              <w:rPr>
                <w:rFonts w:eastAsia="Calibri"/>
                <w:szCs w:val="24"/>
              </w:rPr>
              <w:t xml:space="preserve"> planuotų veiklų rezultatų įgyvendinimą. Tikrinti pateiktų </w:t>
            </w:r>
            <w:r>
              <w:rPr>
                <w:szCs w:val="24"/>
                <w:lang w:eastAsia="ja-JP"/>
              </w:rPr>
              <w:t>Aprašo 1 priede nurodytų veiklų</w:t>
            </w:r>
            <w:r>
              <w:rPr>
                <w:rFonts w:eastAsia="Calibri"/>
                <w:szCs w:val="24"/>
              </w:rPr>
              <w:t xml:space="preserve"> įgyvendinimo ataskaitų bei veiklos įgyvendinimą pagrindžiančius dokumentus, vertinti išlaidų tinkamumą finansuoti;</w:t>
            </w:r>
          </w:p>
          <w:p w14:paraId="585A58A5" w14:textId="77777777" w:rsidR="003B7E8B" w:rsidRDefault="00B7406C">
            <w:pPr>
              <w:tabs>
                <w:tab w:val="left" w:pos="564"/>
                <w:tab w:val="left" w:pos="730"/>
                <w:tab w:val="left" w:pos="933"/>
                <w:tab w:val="left" w:pos="1156"/>
              </w:tabs>
              <w:jc w:val="both"/>
              <w:rPr>
                <w:rFonts w:eastAsia="Calibri"/>
                <w:szCs w:val="24"/>
              </w:rPr>
            </w:pPr>
            <w:r>
              <w:rPr>
                <w:rFonts w:eastAsia="Calibri"/>
                <w:szCs w:val="24"/>
              </w:rPr>
              <w:t>2.1.3.</w:t>
            </w:r>
            <w:r>
              <w:rPr>
                <w:rFonts w:eastAsia="Calibri"/>
                <w:szCs w:val="24"/>
              </w:rPr>
              <w:tab/>
              <w:t xml:space="preserve"> atlikti kitus veiksmus, užtikrinančius tinkamą </w:t>
            </w:r>
            <w:r>
              <w:rPr>
                <w:szCs w:val="24"/>
                <w:lang w:eastAsia="ja-JP"/>
              </w:rPr>
              <w:t>Aprašo 1 priede nurodytų veiklų</w:t>
            </w:r>
            <w:r>
              <w:rPr>
                <w:rFonts w:eastAsia="Calibri"/>
                <w:szCs w:val="24"/>
              </w:rPr>
              <w:t xml:space="preserve"> įgyvendinimo priežiūrą ir kontrolę;</w:t>
            </w:r>
          </w:p>
          <w:p w14:paraId="1D07A9D4" w14:textId="77777777" w:rsidR="003B7E8B" w:rsidRDefault="00B7406C">
            <w:pPr>
              <w:tabs>
                <w:tab w:val="left" w:pos="564"/>
                <w:tab w:val="left" w:pos="730"/>
                <w:tab w:val="left" w:pos="933"/>
                <w:tab w:val="left" w:pos="1156"/>
              </w:tabs>
              <w:jc w:val="both"/>
              <w:rPr>
                <w:rFonts w:eastAsia="Calibri"/>
                <w:szCs w:val="24"/>
              </w:rPr>
            </w:pPr>
            <w:r>
              <w:rPr>
                <w:rFonts w:eastAsia="Calibri"/>
                <w:szCs w:val="24"/>
              </w:rPr>
              <w:t>2.1.4. šios sutarties 4.1 papunktyje nustatyta tvarka ir sąlygomis pervesti subsidijos gavėjui Lietuvos Respublikos ekonomikos ir inovacijų ministro įsakymu skirtas lėšas į šioje sutartyje nurodytą subsidijos gavėjo sąskaitą;</w:t>
            </w:r>
          </w:p>
          <w:p w14:paraId="4A0AF578" w14:textId="77777777" w:rsidR="003B7E8B" w:rsidRDefault="00B7406C">
            <w:pPr>
              <w:tabs>
                <w:tab w:val="left" w:pos="36"/>
              </w:tabs>
              <w:jc w:val="both"/>
              <w:rPr>
                <w:rFonts w:eastAsia="Calibri"/>
                <w:szCs w:val="24"/>
              </w:rPr>
            </w:pPr>
            <w:r>
              <w:rPr>
                <w:rFonts w:eastAsia="Calibri"/>
                <w:szCs w:val="24"/>
              </w:rPr>
              <w:t>2.1.5.</w:t>
            </w:r>
            <w:r>
              <w:rPr>
                <w:rFonts w:eastAsia="Calibri"/>
                <w:szCs w:val="24"/>
              </w:rPr>
              <w:tab/>
              <w:t>organizuoti bei atlikti subsidijos gavėjo pateiktų ataskaitų patikrinimus bei vertinimus;</w:t>
            </w:r>
          </w:p>
          <w:p w14:paraId="2177D310" w14:textId="77777777" w:rsidR="003B7E8B" w:rsidRDefault="00B7406C">
            <w:pPr>
              <w:tabs>
                <w:tab w:val="left" w:pos="564"/>
                <w:tab w:val="left" w:pos="730"/>
                <w:tab w:val="left" w:pos="933"/>
                <w:tab w:val="left" w:pos="1156"/>
              </w:tabs>
              <w:jc w:val="both"/>
              <w:rPr>
                <w:rFonts w:eastAsia="Calibri"/>
                <w:szCs w:val="24"/>
              </w:rPr>
            </w:pPr>
            <w:r>
              <w:rPr>
                <w:rFonts w:eastAsia="Calibri"/>
                <w:szCs w:val="24"/>
              </w:rPr>
              <w:t>2.1.6. nedelsiant, bet ne vėliau kaip per 2 darbo dienas nuo sprendimo dėl šios sutarties nutraukimo priėmimo dienos, šioje sutartyje nustatyta tvarka raštu informuoti subsidijos gavėją apie Ekonomikos ir inovacijų ministerijos priimtą sprendimą dėl šios sutarties nutraukimo ir (ar) reikalavimo grąžinti lėšas;</w:t>
            </w:r>
          </w:p>
          <w:p w14:paraId="0CE8D7D2" w14:textId="77777777" w:rsidR="003B7E8B" w:rsidRDefault="00B7406C">
            <w:pPr>
              <w:tabs>
                <w:tab w:val="left" w:pos="564"/>
                <w:tab w:val="left" w:pos="730"/>
                <w:tab w:val="left" w:pos="933"/>
                <w:tab w:val="left" w:pos="1156"/>
              </w:tabs>
              <w:jc w:val="both"/>
              <w:rPr>
                <w:rFonts w:eastAsia="Calibri"/>
                <w:szCs w:val="24"/>
              </w:rPr>
            </w:pPr>
            <w:r>
              <w:rPr>
                <w:rFonts w:eastAsia="Calibri"/>
                <w:szCs w:val="24"/>
              </w:rPr>
              <w:t>2.1.7. saugoti ir neviešinti gautos informacijos, susijusios su subsidijos gavėjo finansine ir ūkine veikla, išskyrus atvejus, kai tokios informacijos viešinimas privalomas pagal teisės aktus;</w:t>
            </w:r>
          </w:p>
          <w:p w14:paraId="5BAC3FF2" w14:textId="77777777" w:rsidR="003B7E8B" w:rsidRDefault="00B7406C">
            <w:pPr>
              <w:jc w:val="both"/>
              <w:rPr>
                <w:szCs w:val="24"/>
                <w:lang w:eastAsia="ja-JP"/>
              </w:rPr>
            </w:pPr>
            <w:r>
              <w:rPr>
                <w:szCs w:val="24"/>
                <w:lang w:eastAsia="ja-JP"/>
              </w:rPr>
              <w:t>2.1.8. bendradarbiauti ir dėti visas pagrįstas pastangas, siekdama padėti subsidijos gavėjui laikytis visų taisyklių ir reikalavimų, susijusių su tinkamu sutartinių įsipareigojimų vykdymu.</w:t>
            </w:r>
          </w:p>
          <w:p w14:paraId="7A1E0AA4" w14:textId="77777777" w:rsidR="003B7E8B" w:rsidRDefault="00B7406C">
            <w:pPr>
              <w:jc w:val="both"/>
              <w:rPr>
                <w:szCs w:val="24"/>
                <w:lang w:eastAsia="ja-JP"/>
              </w:rPr>
            </w:pPr>
            <w:r>
              <w:rPr>
                <w:szCs w:val="24"/>
                <w:lang w:eastAsia="ja-JP"/>
              </w:rPr>
              <w:t>2.2. Agentūra turi teisę:</w:t>
            </w:r>
          </w:p>
          <w:p w14:paraId="6D8B2CB6" w14:textId="77777777" w:rsidR="003B7E8B" w:rsidRDefault="00B7406C">
            <w:pPr>
              <w:jc w:val="both"/>
              <w:rPr>
                <w:szCs w:val="24"/>
                <w:lang w:eastAsia="ja-JP"/>
              </w:rPr>
            </w:pPr>
            <w:r>
              <w:rPr>
                <w:szCs w:val="24"/>
                <w:lang w:eastAsia="ja-JP"/>
              </w:rPr>
              <w:t>2.2.1. prašyti subsidijos gavėjo pateikti visą turimą informaciją ir (ar) dokumentus, susijusius su Aprašo 1 priede nurodyta veikla ir jos įgyvendinimu, jei pateiktos informacijos apie vykdytas ir įgyvendintas veiklas, pasiektus rezultatus ir (ar) patirtas išlaidas nepakanka;</w:t>
            </w:r>
          </w:p>
          <w:p w14:paraId="0F3F3B21" w14:textId="77777777" w:rsidR="003B7E8B" w:rsidRDefault="00B7406C">
            <w:pPr>
              <w:jc w:val="both"/>
              <w:rPr>
                <w:szCs w:val="24"/>
                <w:lang w:eastAsia="ja-JP"/>
              </w:rPr>
            </w:pPr>
            <w:r>
              <w:rPr>
                <w:szCs w:val="24"/>
                <w:lang w:eastAsia="ja-JP"/>
              </w:rPr>
              <w:t>2.2.2. Aprašo 1 priede nurodytu adresu atlikti patikras ir gauti visą reikalingą informaciją bei veiklos dokumentus;</w:t>
            </w:r>
          </w:p>
          <w:p w14:paraId="07CC21F4" w14:textId="77777777" w:rsidR="003B7E8B" w:rsidRDefault="00B7406C">
            <w:pPr>
              <w:jc w:val="both"/>
              <w:rPr>
                <w:szCs w:val="24"/>
                <w:lang w:eastAsia="ja-JP"/>
              </w:rPr>
            </w:pPr>
            <w:r>
              <w:rPr>
                <w:szCs w:val="24"/>
                <w:lang w:eastAsia="ja-JP"/>
              </w:rPr>
              <w:t>2.2.3. vienašališkai nutraukti šią sutartį Lietuvos Respublikos teisės aktų nustatytais ar šioje sutartyje nurodytais pagrindais ir sąlygomis.</w:t>
            </w:r>
          </w:p>
        </w:tc>
      </w:tr>
      <w:tr w:rsidR="003B7E8B" w14:paraId="5500B3E6" w14:textId="77777777">
        <w:tc>
          <w:tcPr>
            <w:tcW w:w="2439" w:type="dxa"/>
          </w:tcPr>
          <w:p w14:paraId="4177EDA1" w14:textId="77777777" w:rsidR="003B7E8B" w:rsidRDefault="00B7406C">
            <w:pPr>
              <w:tabs>
                <w:tab w:val="left" w:pos="318"/>
                <w:tab w:val="left" w:pos="1219"/>
              </w:tabs>
              <w:ind w:right="119"/>
              <w:rPr>
                <w:b/>
                <w:szCs w:val="24"/>
                <w:lang w:eastAsia="ja-JP"/>
              </w:rPr>
            </w:pPr>
            <w:r>
              <w:rPr>
                <w:b/>
                <w:szCs w:val="24"/>
                <w:lang w:eastAsia="ja-JP"/>
              </w:rPr>
              <w:t>3. Subsidijos gavėjo teisės, pareigos ir patvirtinimai</w:t>
            </w:r>
          </w:p>
        </w:tc>
        <w:tc>
          <w:tcPr>
            <w:tcW w:w="7513" w:type="dxa"/>
            <w:gridSpan w:val="3"/>
          </w:tcPr>
          <w:p w14:paraId="30E3FE6C" w14:textId="77777777" w:rsidR="003B7E8B" w:rsidRDefault="00B7406C">
            <w:pPr>
              <w:jc w:val="both"/>
              <w:rPr>
                <w:szCs w:val="24"/>
                <w:lang w:eastAsia="ja-JP"/>
              </w:rPr>
            </w:pPr>
            <w:r>
              <w:rPr>
                <w:szCs w:val="24"/>
                <w:lang w:eastAsia="ja-JP"/>
              </w:rPr>
              <w:t>3.1. Subsidijos gavėjo teisės:</w:t>
            </w:r>
          </w:p>
          <w:p w14:paraId="35A45345" w14:textId="77777777" w:rsidR="003B7E8B" w:rsidRDefault="00B7406C">
            <w:pPr>
              <w:jc w:val="both"/>
              <w:rPr>
                <w:szCs w:val="24"/>
                <w:lang w:eastAsia="ja-JP"/>
              </w:rPr>
            </w:pPr>
            <w:r>
              <w:rPr>
                <w:szCs w:val="24"/>
                <w:lang w:eastAsia="ja-JP"/>
              </w:rPr>
              <w:t>3.1.1. pasirinkti teisėtas šios sutarties vykdymo priemones ir būdus Aprašo 1 priede nurodytos veiklos tikslams pasiekti, išskyrus atvejus, jeigu tokie būdai ir (ar) priemonės prieštarauja šios sutarties nuostatoms ir (ar) teisės aktų reikalavimams;</w:t>
            </w:r>
          </w:p>
          <w:p w14:paraId="7C1B5654" w14:textId="77777777" w:rsidR="003B7E8B" w:rsidRDefault="00B7406C">
            <w:pPr>
              <w:jc w:val="both"/>
              <w:rPr>
                <w:szCs w:val="24"/>
                <w:lang w:eastAsia="ja-JP"/>
              </w:rPr>
            </w:pPr>
            <w:r>
              <w:rPr>
                <w:szCs w:val="24"/>
                <w:lang w:eastAsia="ja-JP"/>
              </w:rPr>
              <w:t>3.1.2. kitos šios sutarties bei Lietuvos Respublikos galiojančių teisės aktų nustatytos teisės ir pareigos.</w:t>
            </w:r>
          </w:p>
          <w:p w14:paraId="3FCBD3AB" w14:textId="77777777" w:rsidR="003B7E8B" w:rsidRDefault="00B7406C">
            <w:pPr>
              <w:ind w:firstLine="36"/>
              <w:jc w:val="both"/>
              <w:rPr>
                <w:szCs w:val="24"/>
                <w:lang w:eastAsia="ja-JP"/>
              </w:rPr>
            </w:pPr>
            <w:r>
              <w:rPr>
                <w:szCs w:val="24"/>
                <w:lang w:eastAsia="ja-JP"/>
              </w:rPr>
              <w:t>3.2. Subsidijos gavėjo pareigos:</w:t>
            </w:r>
          </w:p>
          <w:p w14:paraId="09842A68" w14:textId="77777777" w:rsidR="003B7E8B" w:rsidRDefault="00B7406C">
            <w:pPr>
              <w:ind w:firstLine="36"/>
              <w:jc w:val="both"/>
              <w:rPr>
                <w:lang w:eastAsia="ja-JP"/>
              </w:rPr>
            </w:pPr>
            <w:r>
              <w:rPr>
                <w:lang w:eastAsia="ja-JP"/>
              </w:rPr>
              <w:lastRenderedPageBreak/>
              <w:t xml:space="preserve">3.2.1. užtikrinti tinkamą Aprašo 1 priede nurodytos veiklos vykdymą ir rezultatų pasiekimą pagal pateiktą paraišką ir subsidijos panaudojimo planą, Apraše nustatytus reikalavimus, kvietimo sąlygas ir šią sutartį; </w:t>
            </w:r>
          </w:p>
          <w:p w14:paraId="2E5B7EBF" w14:textId="77777777" w:rsidR="003B7E8B" w:rsidRDefault="00B7406C">
            <w:pPr>
              <w:tabs>
                <w:tab w:val="left" w:pos="564"/>
                <w:tab w:val="left" w:pos="730"/>
                <w:tab w:val="left" w:pos="933"/>
                <w:tab w:val="left" w:pos="1156"/>
              </w:tabs>
              <w:jc w:val="both"/>
              <w:rPr>
                <w:rFonts w:eastAsia="Calibri"/>
                <w:szCs w:val="24"/>
              </w:rPr>
            </w:pPr>
            <w:r>
              <w:rPr>
                <w:rFonts w:eastAsia="Calibri"/>
                <w:szCs w:val="24"/>
              </w:rPr>
              <w:t xml:space="preserve">3.2.2. gautas lėšas naudoti vadovaujantis Aprašo reikalavimais pagal tikslinę paskirtį, užtikrinti lėšų naudojimo teisėtumą, ekonomiškumą, efektyvumą ir rezultatyvumą bei skirtų lėšų naudojimą pagrįsti pirminiais duomenų šaltiniais, turinčiais juridinę galią ir patvirtinančiais išlaidų tinkamumą ir tikslingumą; </w:t>
            </w:r>
          </w:p>
          <w:p w14:paraId="071A2A40" w14:textId="77777777" w:rsidR="003B7E8B" w:rsidRDefault="00B7406C">
            <w:pPr>
              <w:jc w:val="both"/>
              <w:rPr>
                <w:szCs w:val="24"/>
                <w:lang w:eastAsia="ja-JP"/>
              </w:rPr>
            </w:pPr>
            <w:r>
              <w:rPr>
                <w:szCs w:val="24"/>
                <w:lang w:eastAsia="ja-JP"/>
              </w:rPr>
              <w:t>3.2.3. užtikrinti laiku atliekamą ir tinkamą šios sutarties 4.4 papunktyje nurodytos ataskaitos ir susijusių dokumentų pateikimą;</w:t>
            </w:r>
          </w:p>
          <w:p w14:paraId="11D389F5" w14:textId="77777777" w:rsidR="003B7E8B" w:rsidRDefault="00B7406C">
            <w:pPr>
              <w:jc w:val="both"/>
              <w:rPr>
                <w:color w:val="000000"/>
                <w:lang w:eastAsia="en-GB"/>
              </w:rPr>
            </w:pPr>
            <w:r>
              <w:rPr>
                <w:lang w:eastAsia="ja-JP"/>
              </w:rPr>
              <w:t xml:space="preserve">3.2.4. ne vėliau kaip iki Ekonomikos ir inovacijų ministerijos sprendime arba Agentūros pateiktame rašte dėl lėšų grąžinimo nurodyto termino pabaigos besąlygiškai ir nedelsiant </w:t>
            </w:r>
            <w:r>
              <w:rPr>
                <w:color w:val="000000"/>
                <w:lang w:eastAsia="en-GB"/>
              </w:rPr>
              <w:t xml:space="preserve">grąžinti Agentūrai </w:t>
            </w:r>
            <w:r>
              <w:rPr>
                <w:lang w:eastAsia="ja-JP"/>
              </w:rPr>
              <w:t xml:space="preserve">sprendime (arba Agentūros rašte) dėl lėšų grąžinimo </w:t>
            </w:r>
            <w:r>
              <w:rPr>
                <w:color w:val="000000"/>
                <w:lang w:eastAsia="en-GB"/>
              </w:rPr>
              <w:t xml:space="preserve">nurodytą lėšų sumą, jei ši sutartis buvo nutraukta 2.2.3 papunktyje nurodytais pagrindais, lėšos buvo naudojamos ne pagal tikslinę paskirtį, nepasiekti arba iš dalies pasiekti </w:t>
            </w:r>
            <w:r>
              <w:rPr>
                <w:lang w:eastAsia="ja-JP"/>
              </w:rPr>
              <w:t>Aprašo 1 priede  subsidijos panaudojimo plane nurodyti</w:t>
            </w:r>
            <w:r>
              <w:rPr>
                <w:color w:val="000000"/>
                <w:lang w:eastAsia="en-GB"/>
              </w:rPr>
              <w:t xml:space="preserve"> rezultatai;</w:t>
            </w:r>
          </w:p>
          <w:p w14:paraId="7B603206" w14:textId="77777777" w:rsidR="003B7E8B" w:rsidRDefault="00B7406C">
            <w:pPr>
              <w:jc w:val="both"/>
              <w:rPr>
                <w:szCs w:val="24"/>
                <w:lang w:eastAsia="ja-JP"/>
              </w:rPr>
            </w:pPr>
            <w:r>
              <w:rPr>
                <w:szCs w:val="24"/>
                <w:lang w:eastAsia="ja-JP"/>
              </w:rPr>
              <w:t>3.2.5. ne vėliau kaip per 3 darbo dienas nuo duomenų pasikeitimo momento informuoti Agentūrą apie subsidijos gavėjo rekvizitų pasikeitimus;</w:t>
            </w:r>
          </w:p>
          <w:p w14:paraId="346C0EF6" w14:textId="77777777" w:rsidR="003B7E8B" w:rsidRDefault="00B7406C">
            <w:pPr>
              <w:jc w:val="both"/>
              <w:rPr>
                <w:szCs w:val="24"/>
                <w:lang w:eastAsia="ja-JP"/>
              </w:rPr>
            </w:pPr>
            <w:r>
              <w:rPr>
                <w:szCs w:val="24"/>
                <w:lang w:eastAsia="ja-JP"/>
              </w:rPr>
              <w:t>3.2.6. saugoti su Aprašo 1 priede nurodytos veiklos įgyvendinimu susijusius dokumentus veiklos įgyvendinimo metu ir 5 metus po subsidijos gavimo pabaigos. Agentūros prašymu subsidijos gavėjas privalo teikti su subsidija susijusius duomenis ir dokumentus veiklos įgyvendinimo metu ir 5 (penkerius) metus po subsidijos gavimo;</w:t>
            </w:r>
          </w:p>
          <w:p w14:paraId="3086B3BB" w14:textId="77777777" w:rsidR="003B7E8B" w:rsidRDefault="00B7406C">
            <w:pPr>
              <w:jc w:val="both"/>
              <w:rPr>
                <w:szCs w:val="24"/>
                <w:lang w:eastAsia="ja-JP"/>
              </w:rPr>
            </w:pPr>
            <w:r>
              <w:rPr>
                <w:szCs w:val="24"/>
                <w:lang w:eastAsia="ja-JP"/>
              </w:rPr>
              <w:t>3.2.7. užtikrinti, kad skelbdamas publikacijas apie vykdomą veiklą, viešindamas veiklos rezultatus nurodys: „Bendrai finansuoja Lietuvos Respublikos ekonomikos ir inovacijų ministerija.“</w:t>
            </w:r>
          </w:p>
          <w:p w14:paraId="3AA9E7E6" w14:textId="77777777" w:rsidR="003B7E8B" w:rsidRDefault="00B7406C">
            <w:pPr>
              <w:jc w:val="both"/>
              <w:rPr>
                <w:szCs w:val="24"/>
                <w:lang w:eastAsia="ja-JP"/>
              </w:rPr>
            </w:pPr>
            <w:r>
              <w:rPr>
                <w:szCs w:val="24"/>
                <w:lang w:eastAsia="ja-JP"/>
              </w:rPr>
              <w:t>3.3. Subsidijos gavėjas patvirtina, kad šios sutarties sudarymo metu:</w:t>
            </w:r>
          </w:p>
          <w:p w14:paraId="233229AA" w14:textId="77777777" w:rsidR="003B7E8B" w:rsidRDefault="00B7406C">
            <w:pPr>
              <w:jc w:val="both"/>
              <w:rPr>
                <w:szCs w:val="24"/>
                <w:lang w:eastAsia="ja-JP"/>
              </w:rPr>
            </w:pPr>
            <w:r>
              <w:rPr>
                <w:szCs w:val="24"/>
                <w:lang w:eastAsia="ja-JP"/>
              </w:rPr>
              <w:t xml:space="preserve">3.3.1. pagal galiojančius teisės aktų reikalavimus turi teisę gauti </w:t>
            </w:r>
            <w:r>
              <w:rPr>
                <w:i/>
                <w:iCs/>
                <w:szCs w:val="24"/>
                <w:lang w:eastAsia="ja-JP"/>
              </w:rPr>
              <w:t xml:space="preserve">de </w:t>
            </w:r>
            <w:proofErr w:type="spellStart"/>
            <w:r>
              <w:rPr>
                <w:i/>
                <w:iCs/>
                <w:szCs w:val="24"/>
                <w:lang w:eastAsia="ja-JP"/>
              </w:rPr>
              <w:t>minimis</w:t>
            </w:r>
            <w:proofErr w:type="spellEnd"/>
            <w:r>
              <w:rPr>
                <w:szCs w:val="24"/>
                <w:lang w:eastAsia="ja-JP"/>
              </w:rPr>
              <w:t xml:space="preserve"> pagalbą;</w:t>
            </w:r>
          </w:p>
          <w:p w14:paraId="567520B2" w14:textId="77777777" w:rsidR="003B7E8B" w:rsidRDefault="00B7406C">
            <w:pPr>
              <w:jc w:val="both"/>
              <w:rPr>
                <w:szCs w:val="24"/>
                <w:lang w:eastAsia="ja-JP"/>
              </w:rPr>
            </w:pPr>
            <w:r>
              <w:rPr>
                <w:szCs w:val="24"/>
                <w:lang w:eastAsia="ja-JP"/>
              </w:rPr>
              <w:t>3.3.2. jam nėra taikomas neįvykdytas vykdomasis raštas išieškoti lėšas po ankstesnio Europos Komisijos sprendimo, kuriuo pagalba pripažinta neteisėta ir nesuderinama su vidaus rinka;</w:t>
            </w:r>
          </w:p>
          <w:p w14:paraId="66742082" w14:textId="77777777" w:rsidR="003B7E8B" w:rsidRDefault="00B7406C">
            <w:pPr>
              <w:jc w:val="both"/>
              <w:rPr>
                <w:szCs w:val="24"/>
                <w:lang w:eastAsia="ja-JP"/>
              </w:rPr>
            </w:pPr>
            <w:r>
              <w:rPr>
                <w:szCs w:val="24"/>
                <w:lang w:eastAsia="ja-JP"/>
              </w:rPr>
              <w:t>3.3.3. jam nėra pritaikytos tarptautinės sankcijos ir (arba) jo ir (arba) su juo susijusių įmonių vykdomoje veikloje, veiksmuose, sandoriuose dalyvauja subjektai, kuriems nėra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w:t>
            </w:r>
            <w:r>
              <w:rPr>
                <w:szCs w:val="24"/>
                <w:lang w:eastAsia="ja-JP"/>
              </w:rPr>
              <w:t xml:space="preserve"> į užsieniečių, kuriems draudžiama atvykti į Lietuvos Respubliką, viešąjį sąrašą, skelbiamą Migracijos departamento prie Lietuvos Respublikos vidaus reikalų ministerijos interneto svetainėje www.migracija.lt;</w:t>
            </w:r>
          </w:p>
          <w:p w14:paraId="100FFEE2" w14:textId="77777777" w:rsidR="003B7E8B" w:rsidRDefault="00B7406C">
            <w:pPr>
              <w:jc w:val="both"/>
              <w:rPr>
                <w:szCs w:val="24"/>
                <w:lang w:eastAsia="ja-JP"/>
              </w:rPr>
            </w:pPr>
            <w:r>
              <w:rPr>
                <w:szCs w:val="24"/>
                <w:lang w:eastAsia="ja-JP"/>
              </w:rPr>
              <w:t xml:space="preserve">3.3.4. remiama Aprašo 1 priede subsidijos panaudojimo plane nurodyta veikla nebuvo ir nėra finansuota ar finansuojama iš kitų Lietuvos Respublikos valstybės biudžeto ir (arba) savivaldybių biudžetų, kitų </w:t>
            </w:r>
            <w:r>
              <w:rPr>
                <w:szCs w:val="24"/>
                <w:lang w:eastAsia="ja-JP"/>
              </w:rPr>
              <w:lastRenderedPageBreak/>
              <w:t>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w:t>
            </w:r>
          </w:p>
          <w:p w14:paraId="50B1EDE8" w14:textId="77777777" w:rsidR="003B7E8B" w:rsidRDefault="00B7406C">
            <w:pPr>
              <w:jc w:val="both"/>
              <w:rPr>
                <w:szCs w:val="24"/>
                <w:lang w:eastAsia="ja-JP"/>
              </w:rPr>
            </w:pPr>
            <w:r>
              <w:rPr>
                <w:szCs w:val="24"/>
                <w:lang w:eastAsia="ja-JP"/>
              </w:rPr>
              <w:t>3.3.5. nepasikeitė paraiškoje ir (ar) pagal Aprašo 20 punktą kartu su paraiška pateiktuose kituose dokumentuose nurodyta informacija, paraiškoje ir šioje sutartyje pateikti patvirtinimai yra teisingi ir tikslūs.</w:t>
            </w:r>
          </w:p>
        </w:tc>
      </w:tr>
      <w:tr w:rsidR="003B7E8B" w14:paraId="33B1F924" w14:textId="77777777">
        <w:tc>
          <w:tcPr>
            <w:tcW w:w="2439" w:type="dxa"/>
          </w:tcPr>
          <w:p w14:paraId="1702577F" w14:textId="77777777" w:rsidR="003B7E8B" w:rsidRDefault="00B7406C">
            <w:pPr>
              <w:tabs>
                <w:tab w:val="left" w:pos="318"/>
                <w:tab w:val="left" w:pos="1219"/>
              </w:tabs>
              <w:ind w:right="119"/>
              <w:rPr>
                <w:b/>
                <w:szCs w:val="24"/>
                <w:lang w:eastAsia="ja-JP"/>
              </w:rPr>
            </w:pPr>
            <w:r>
              <w:rPr>
                <w:b/>
                <w:szCs w:val="24"/>
                <w:lang w:eastAsia="ja-JP"/>
              </w:rPr>
              <w:lastRenderedPageBreak/>
              <w:t>4. A</w:t>
            </w:r>
            <w:r>
              <w:rPr>
                <w:b/>
                <w:bCs/>
                <w:szCs w:val="24"/>
                <w:lang w:eastAsia="ja-JP"/>
              </w:rPr>
              <w:t>tsiskaitymo tvarka</w:t>
            </w:r>
          </w:p>
        </w:tc>
        <w:tc>
          <w:tcPr>
            <w:tcW w:w="7513" w:type="dxa"/>
            <w:gridSpan w:val="3"/>
          </w:tcPr>
          <w:p w14:paraId="4FE36DEA" w14:textId="77777777" w:rsidR="003B7E8B" w:rsidRDefault="00B7406C">
            <w:pPr>
              <w:jc w:val="both"/>
              <w:rPr>
                <w:rFonts w:eastAsia="Calibri"/>
                <w:szCs w:val="24"/>
              </w:rPr>
            </w:pPr>
            <w:r>
              <w:rPr>
                <w:rFonts w:eastAsia="Calibri"/>
                <w:szCs w:val="24"/>
              </w:rPr>
              <w:t xml:space="preserve">4.1. Agentūra perveda lėšas į subsidijos gavėjo sąskaitą, nurodytą šioje sutartyje, vadovaudamasi Aprašo nuostatomis. </w:t>
            </w:r>
          </w:p>
          <w:p w14:paraId="62FC8E7C" w14:textId="77777777" w:rsidR="003B7E8B" w:rsidRDefault="00B7406C">
            <w:pPr>
              <w:jc w:val="both"/>
              <w:rPr>
                <w:rFonts w:eastAsia="Calibri"/>
              </w:rPr>
            </w:pPr>
            <w:r>
              <w:rPr>
                <w:rFonts w:eastAsia="Calibri"/>
              </w:rPr>
              <w:t xml:space="preserve">4.2. Subsidiją Agentūra perveda per 7 darbo dienas nuo Sutarties pasirašymo dienos, bet ne vėliau kaip iki einamųjų metų gruodžio 31 d. </w:t>
            </w:r>
          </w:p>
          <w:p w14:paraId="0DF31B25" w14:textId="77777777" w:rsidR="003B7E8B" w:rsidRDefault="00B7406C">
            <w:pPr>
              <w:jc w:val="both"/>
              <w:rPr>
                <w:szCs w:val="24"/>
                <w:lang w:eastAsia="ja-JP"/>
              </w:rPr>
            </w:pPr>
            <w:r>
              <w:rPr>
                <w:szCs w:val="24"/>
                <w:lang w:eastAsia="ja-JP"/>
              </w:rPr>
              <w:t xml:space="preserve">4.3. Bet kokie subsidijos gavėjo pateiktoje paraiškoje nurodytos informacijos pakeitimai privalo būti suderinti su Agentūra raštu. </w:t>
            </w:r>
          </w:p>
          <w:p w14:paraId="426503BA" w14:textId="77777777" w:rsidR="003B7E8B" w:rsidRDefault="00B7406C">
            <w:pPr>
              <w:tabs>
                <w:tab w:val="left" w:pos="851"/>
                <w:tab w:val="left" w:pos="993"/>
              </w:tabs>
              <w:suppressAutoHyphens/>
              <w:ind w:firstLine="28"/>
              <w:jc w:val="both"/>
              <w:textAlignment w:val="center"/>
              <w:outlineLvl w:val="1"/>
              <w:rPr>
                <w:color w:val="000000"/>
                <w:lang w:eastAsia="lt-LT"/>
              </w:rPr>
            </w:pPr>
            <w:r>
              <w:rPr>
                <w:lang w:eastAsia="ja-JP"/>
              </w:rPr>
              <w:t xml:space="preserve">4.4. Už veiklos metu pasiektus rezultatus subsidijos gavėjas atsiskaito </w:t>
            </w:r>
            <w:r>
              <w:rPr>
                <w:color w:val="000000"/>
                <w:lang w:eastAsia="lt-LT"/>
              </w:rPr>
              <w:t>per 10 darbo dienų nuo veiklos įgyvendinimo pabaigos, pateikdamas Agentūrai Aprašo 44 punkte nurodytus dokumentus, įrodančius Aprašo 1 priede subsidijos panaudojimo plane nurodytos veiklos rezultato pasiekimą.</w:t>
            </w:r>
          </w:p>
          <w:p w14:paraId="384CD3A2" w14:textId="77777777" w:rsidR="003B7E8B" w:rsidRDefault="00B7406C">
            <w:pPr>
              <w:jc w:val="both"/>
              <w:rPr>
                <w:szCs w:val="24"/>
                <w:lang w:eastAsia="ja-JP"/>
              </w:rPr>
            </w:pPr>
            <w:r>
              <w:rPr>
                <w:szCs w:val="24"/>
                <w:lang w:eastAsia="ja-JP"/>
              </w:rPr>
              <w:t>4.5. Subsidijos gavėjas gautas ir nepanaudotas lėšas įgyvendinant veiklą privalo grąžinti į Agentūros sąskaitą ne vėliau kaip per 14 kalendorinių dienų nuo veiklos įgyvendinimo pabaigos.</w:t>
            </w:r>
          </w:p>
          <w:p w14:paraId="765FB841" w14:textId="77777777" w:rsidR="003B7E8B" w:rsidRDefault="00B7406C">
            <w:pPr>
              <w:ind w:firstLine="41"/>
              <w:jc w:val="both"/>
              <w:rPr>
                <w:rFonts w:eastAsia="Calibri"/>
                <w:szCs w:val="24"/>
              </w:rPr>
            </w:pPr>
            <w:r>
              <w:rPr>
                <w:rFonts w:eastAsia="Calibri"/>
                <w:szCs w:val="24"/>
              </w:rPr>
              <w:t>4.6. Jei subsidijos gavėjas per šioje sutartyje nurodytą terminą nepateikia veiklos dokumentų, įrodančių veiklos rezultato pasiekimą, ir neprašo atidėti šių dokumentų pateikimo termino, Agentūra apie tai primena subsidijos gavėjui raštu. Jeigu subsidijos gavėjas ir po priminimo per Agentūros nustatytą terminą, kuris negali būti trumpesnis kaip 3 darbo dienos,  nepateikia dokumentų, įrodančių veiklos rezultato pasiekimą, Agentūra nutraukia šią sutartį ir reikalauja iš subsidijos gavėjo grąžinti pervestas lėš</w:t>
            </w:r>
            <w:r>
              <w:rPr>
                <w:rFonts w:eastAsia="Calibri"/>
                <w:szCs w:val="24"/>
              </w:rPr>
              <w:t>as.</w:t>
            </w:r>
          </w:p>
          <w:p w14:paraId="512C7D9D" w14:textId="77777777" w:rsidR="003B7E8B" w:rsidRDefault="00B7406C">
            <w:pPr>
              <w:jc w:val="both"/>
              <w:rPr>
                <w:rFonts w:eastAsia="Calibri"/>
                <w:szCs w:val="24"/>
              </w:rPr>
            </w:pPr>
            <w:r>
              <w:rPr>
                <w:rFonts w:eastAsia="Calibri"/>
                <w:szCs w:val="24"/>
              </w:rPr>
              <w:t>4.7. Tuo atveju, jei</w:t>
            </w:r>
            <w:r>
              <w:rPr>
                <w:rFonts w:eastAsia="Calibri"/>
                <w:color w:val="000000"/>
                <w:szCs w:val="24"/>
              </w:rPr>
              <w:t xml:space="preserve"> ataskaitos vertinimo metu kyla neaiškumų ar trūksta informacijos vertinimui atlikti, Agentūra turi teisę paprašyti subsidijos gavėjo papildyti ar patikslinti pateiktus dokumentus ir nustatyti dokumentų patikslinimo terminą, kuris negali būti trumpesnis kaip 3 darbo dienos ir ilgesnis kaip 5 darbo dienos. Jei subsidijos gavėjas nustatytu terminu nepateikia trūkstamų dokumentų ar informacijos, išlaidos (ar jų dalis) gali būti pripažįstamos (-a) netinkamomis ir nesubsidijuojamos.  </w:t>
            </w:r>
          </w:p>
          <w:p w14:paraId="32DBCE5F" w14:textId="77777777" w:rsidR="003B7E8B" w:rsidRDefault="00B7406C">
            <w:pPr>
              <w:jc w:val="both"/>
              <w:rPr>
                <w:szCs w:val="24"/>
                <w:lang w:eastAsia="ja-JP"/>
              </w:rPr>
            </w:pPr>
            <w:r>
              <w:rPr>
                <w:szCs w:val="24"/>
                <w:lang w:eastAsia="ja-JP"/>
              </w:rPr>
              <w:t xml:space="preserve">4.8. </w:t>
            </w:r>
            <w:r>
              <w:rPr>
                <w:color w:val="000000"/>
                <w:szCs w:val="24"/>
                <w:lang w:eastAsia="ja-JP"/>
              </w:rPr>
              <w:t xml:space="preserve">Jei Agentūra vertinimo metu nustato, kad subsidijos gavėjas pateikė neteisingą informaciją, duomenis ir (ar) dokumentus ir (ar) sąmoningai nuslėpė informaciją, turėjusią reikšmės sprendimo dėl subsidijos skyrimo priėmimui, subsidijos gavėjas privalo grąžinti Agentūrai visą neteisėtai gautą finansavimą su palūkanomis, kaip nustatyta 2015 m. liepos 13 d. Tarybos reglamente </w:t>
            </w:r>
            <w:hyperlink r:id="rId11" w:tgtFrame="_blank" w:history="1">
              <w:r>
                <w:rPr>
                  <w:color w:val="467886" w:themeColor="hyperlink"/>
                  <w:szCs w:val="24"/>
                  <w:u w:val="single"/>
                  <w:lang w:eastAsia="ja-JP"/>
                </w:rPr>
                <w:t>(ES) 2015/1589</w:t>
              </w:r>
            </w:hyperlink>
            <w:r>
              <w:rPr>
                <w:color w:val="000000"/>
                <w:szCs w:val="24"/>
                <w:lang w:eastAsia="ja-JP"/>
              </w:rPr>
              <w:t>, nustatančiame išsamias šios sutarties dėl Europos Sąjungos veikimo 108 straipsnio taikymo taisykles.</w:t>
            </w:r>
          </w:p>
          <w:p w14:paraId="3588E04A" w14:textId="77777777" w:rsidR="003B7E8B" w:rsidRDefault="00B7406C">
            <w:pPr>
              <w:jc w:val="both"/>
              <w:rPr>
                <w:szCs w:val="24"/>
                <w:lang w:eastAsia="ja-JP"/>
              </w:rPr>
            </w:pPr>
            <w:r>
              <w:rPr>
                <w:szCs w:val="24"/>
                <w:lang w:eastAsia="ja-JP"/>
              </w:rPr>
              <w:t>4.9. Šalys sulygsta, kad tinkama mokėjimo pagal šią sutartį diena – tai diena, kai lėšos išskaitomos iš šalies, kuri turi pareigą įvykdyti mokėjimą, banko sąskaitos, o jei kuri nors iš šalių reikalauja, per šioje sutartyje nustatytus terminus yra pateikiami tokį mokėjimo atlikimą patvirtinantys dokumentai.</w:t>
            </w:r>
          </w:p>
          <w:p w14:paraId="5F113F30" w14:textId="77777777" w:rsidR="003B7E8B" w:rsidRDefault="00B7406C">
            <w:pPr>
              <w:jc w:val="both"/>
              <w:rPr>
                <w:szCs w:val="24"/>
                <w:lang w:eastAsia="ja-JP"/>
              </w:rPr>
            </w:pPr>
            <w:r>
              <w:rPr>
                <w:szCs w:val="24"/>
                <w:lang w:eastAsia="ja-JP"/>
              </w:rPr>
              <w:lastRenderedPageBreak/>
              <w:t>4.10. Jeigu bet kokio mokėjimo pagal šią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dienos.</w:t>
            </w:r>
          </w:p>
        </w:tc>
      </w:tr>
      <w:tr w:rsidR="003B7E8B" w14:paraId="40F0642B" w14:textId="77777777">
        <w:trPr>
          <w:trHeight w:val="417"/>
        </w:trPr>
        <w:tc>
          <w:tcPr>
            <w:tcW w:w="2439" w:type="dxa"/>
          </w:tcPr>
          <w:p w14:paraId="4DAFB8B6" w14:textId="77777777" w:rsidR="003B7E8B" w:rsidRDefault="00B7406C">
            <w:pPr>
              <w:ind w:right="-106"/>
              <w:rPr>
                <w:b/>
                <w:szCs w:val="24"/>
                <w:lang w:eastAsia="ja-JP"/>
              </w:rPr>
            </w:pPr>
            <w:r>
              <w:rPr>
                <w:b/>
                <w:szCs w:val="24"/>
                <w:lang w:eastAsia="ja-JP"/>
              </w:rPr>
              <w:lastRenderedPageBreak/>
              <w:t>5. Sutarties keitimas / papildymas</w:t>
            </w:r>
          </w:p>
        </w:tc>
        <w:tc>
          <w:tcPr>
            <w:tcW w:w="7513" w:type="dxa"/>
            <w:gridSpan w:val="3"/>
          </w:tcPr>
          <w:p w14:paraId="694E07C4" w14:textId="77777777" w:rsidR="003B7E8B" w:rsidRDefault="00B7406C">
            <w:pPr>
              <w:ind w:firstLine="34"/>
              <w:jc w:val="both"/>
              <w:rPr>
                <w:szCs w:val="24"/>
                <w:lang w:eastAsia="ja-JP"/>
              </w:rPr>
            </w:pPr>
            <w:r>
              <w:rPr>
                <w:szCs w:val="24"/>
                <w:lang w:eastAsia="ja-JP"/>
              </w:rPr>
              <w:t>5.1. Ši sutartis ir (ar) jos priedai, kurie yra neatsiejamos šios sutarties dalys, pakeitimai ir papildymai gali būti keičiami tik šalių rašytiniu susitarimu, kurie įsigalioja tik tada, kai jie patvirtinti raštu ir tinkamai pasirašyti šalių įgaliotų asmenų.</w:t>
            </w:r>
          </w:p>
          <w:p w14:paraId="718CC863" w14:textId="77777777" w:rsidR="003B7E8B" w:rsidRDefault="00B7406C">
            <w:pPr>
              <w:ind w:firstLine="34"/>
              <w:jc w:val="both"/>
              <w:rPr>
                <w:szCs w:val="24"/>
                <w:lang w:eastAsia="ja-JP"/>
              </w:rPr>
            </w:pPr>
            <w:r>
              <w:rPr>
                <w:szCs w:val="24"/>
                <w:lang w:eastAsia="ja-JP"/>
              </w:rPr>
              <w:t>5.2. Nesant šioje sutartyje nustatyta tvarka sudarytų sutarties pakeitimų ar papildymų, sutartis vykdoma ta apimtimi, kuri šalių sulygta jos sudarymo momentu ir bet koks nukrypimas nuo šios sutarties sąlygų ar prisiimtų įsipareigojimų, be šalių atskiro susitarimo, įforminto šios sutarties 5.1 papunktyje nustatyta tvarka, laikytinas esminiu sutarties pažeidimu, dėl kurio kaltoji šalis besąlygiškai prisiima visas neigiamas tokio veikimo pasekmes.</w:t>
            </w:r>
          </w:p>
        </w:tc>
      </w:tr>
      <w:tr w:rsidR="003B7E8B" w14:paraId="32655A0A" w14:textId="77777777">
        <w:tc>
          <w:tcPr>
            <w:tcW w:w="2439" w:type="dxa"/>
          </w:tcPr>
          <w:p w14:paraId="613F962B" w14:textId="77777777" w:rsidR="003B7E8B" w:rsidRDefault="00B7406C">
            <w:pPr>
              <w:ind w:right="-104"/>
              <w:rPr>
                <w:b/>
                <w:szCs w:val="24"/>
                <w:lang w:eastAsia="ja-JP"/>
              </w:rPr>
            </w:pPr>
            <w:r>
              <w:rPr>
                <w:b/>
                <w:szCs w:val="24"/>
                <w:lang w:eastAsia="ja-JP"/>
              </w:rPr>
              <w:t>6. Sutarties nutraukimas</w:t>
            </w:r>
          </w:p>
        </w:tc>
        <w:tc>
          <w:tcPr>
            <w:tcW w:w="7513" w:type="dxa"/>
            <w:gridSpan w:val="3"/>
          </w:tcPr>
          <w:p w14:paraId="5F70D393" w14:textId="77777777" w:rsidR="003B7E8B" w:rsidRDefault="00B7406C">
            <w:pPr>
              <w:jc w:val="both"/>
              <w:rPr>
                <w:rFonts w:eastAsia="Calibri"/>
                <w:szCs w:val="24"/>
              </w:rPr>
            </w:pPr>
            <w:r>
              <w:rPr>
                <w:rFonts w:eastAsia="Calibri"/>
                <w:szCs w:val="24"/>
              </w:rPr>
              <w:t>6.1. Sutartis gali būti nutraukta:</w:t>
            </w:r>
          </w:p>
          <w:p w14:paraId="06719415" w14:textId="77777777" w:rsidR="003B7E8B" w:rsidRDefault="00B7406C">
            <w:pPr>
              <w:jc w:val="both"/>
              <w:rPr>
                <w:rFonts w:eastAsia="Calibri"/>
                <w:szCs w:val="24"/>
              </w:rPr>
            </w:pPr>
            <w:r>
              <w:rPr>
                <w:rFonts w:eastAsia="Calibri"/>
                <w:szCs w:val="24"/>
              </w:rPr>
              <w:t>6.1.1. bendru rašytiniu šios sutarties šalių susitarimu;</w:t>
            </w:r>
          </w:p>
          <w:p w14:paraId="4E4AAFC3" w14:textId="77777777" w:rsidR="003B7E8B" w:rsidRDefault="00B7406C">
            <w:pPr>
              <w:jc w:val="both"/>
              <w:rPr>
                <w:rFonts w:eastAsia="Calibri"/>
                <w:szCs w:val="24"/>
              </w:rPr>
            </w:pPr>
            <w:r>
              <w:rPr>
                <w:rFonts w:eastAsia="Calibri"/>
                <w:szCs w:val="24"/>
              </w:rPr>
              <w:t>6.1.2. sutarties šalies rašytiniu reikalavimu, jei kita šalis nevykdo ar netinkamai vykdo šioje sutartyje nustatytus įsipareigojimus, apie tai raštu informuojant sutarties nevykdančią šalį ne vėliau kaip 14 kalendorinių dienų iki numatomo sutarties nutraukimo;</w:t>
            </w:r>
          </w:p>
          <w:p w14:paraId="2245A648" w14:textId="77777777" w:rsidR="003B7E8B" w:rsidRDefault="00B7406C">
            <w:pPr>
              <w:jc w:val="both"/>
              <w:rPr>
                <w:rFonts w:eastAsia="Calibri"/>
                <w:szCs w:val="24"/>
              </w:rPr>
            </w:pPr>
            <w:r>
              <w:rPr>
                <w:rFonts w:eastAsia="Calibri"/>
                <w:szCs w:val="24"/>
              </w:rPr>
              <w:t>6.1.3. vienašaliu Agentūros sprendimu:</w:t>
            </w:r>
          </w:p>
          <w:p w14:paraId="6508D4D9" w14:textId="77777777" w:rsidR="003B7E8B" w:rsidRDefault="00B7406C">
            <w:pPr>
              <w:jc w:val="both"/>
              <w:rPr>
                <w:szCs w:val="24"/>
                <w:lang w:eastAsia="ja-JP"/>
              </w:rPr>
            </w:pPr>
            <w:r>
              <w:rPr>
                <w:szCs w:val="24"/>
                <w:lang w:eastAsia="ja-JP"/>
              </w:rPr>
              <w:t>6.1.3.1. kai nevykdomos ar pažeidžiamos Aprašo III, V, IX, X, XI skyriuose nurodytos įgyvendinimo ir atsiskaitymo sąlygos ar nustatoma, kad subsidijos gavėjas pažeidė šią sutartį;</w:t>
            </w:r>
          </w:p>
          <w:p w14:paraId="1EDA679E" w14:textId="77777777" w:rsidR="003B7E8B" w:rsidRDefault="00B7406C">
            <w:pPr>
              <w:jc w:val="both"/>
              <w:rPr>
                <w:szCs w:val="24"/>
                <w:lang w:eastAsia="ja-JP"/>
              </w:rPr>
            </w:pPr>
            <w:r>
              <w:rPr>
                <w:szCs w:val="24"/>
                <w:lang w:eastAsia="ja-JP"/>
              </w:rPr>
              <w:t>6.1.3.2. kai subsidijos gavėjas yra restruktūrizuojamas, bankrutuojantis ar likviduojamas;</w:t>
            </w:r>
          </w:p>
          <w:p w14:paraId="3BC5E99F" w14:textId="77777777" w:rsidR="003B7E8B" w:rsidRDefault="00B7406C">
            <w:pPr>
              <w:jc w:val="both"/>
              <w:rPr>
                <w:szCs w:val="24"/>
                <w:lang w:eastAsia="ja-JP"/>
              </w:rPr>
            </w:pPr>
            <w:r>
              <w:rPr>
                <w:szCs w:val="24"/>
                <w:lang w:eastAsia="ja-JP"/>
              </w:rPr>
              <w:t>6.1.3.3. kai iš esmės pablogėja valstybės ekonominė ir finansinė būklė ir (ar) sumažinamas, nutraukiamas sutarties sudarymo pagrindui Agentūrai skirtas finansavimas. Nutraukus sutartį šiuo pagrindu, Agentūra neatlygina subsidijos gavėjui nei tiesioginių, nei netiesioginių nuostolių;</w:t>
            </w:r>
          </w:p>
          <w:p w14:paraId="32A04EB5" w14:textId="77777777" w:rsidR="003B7E8B" w:rsidRDefault="00B7406C">
            <w:pPr>
              <w:jc w:val="both"/>
              <w:rPr>
                <w:szCs w:val="24"/>
                <w:lang w:eastAsia="ja-JP"/>
              </w:rPr>
            </w:pPr>
            <w:r>
              <w:rPr>
                <w:szCs w:val="24"/>
                <w:lang w:eastAsia="ja-JP"/>
              </w:rPr>
              <w:t>6.1.3.4. kai nustatomas pažeidimas dėl Lietuvos Respublikos ar Europos Sąjungos teisės aktų nustatytų reikalavimų ir sąlygų laikymosi;</w:t>
            </w:r>
          </w:p>
          <w:p w14:paraId="4AF83657" w14:textId="77777777" w:rsidR="003B7E8B" w:rsidRDefault="00B7406C">
            <w:pPr>
              <w:jc w:val="both"/>
              <w:rPr>
                <w:lang w:eastAsia="ja-JP"/>
              </w:rPr>
            </w:pPr>
            <w:r>
              <w:rPr>
                <w:lang w:eastAsia="ja-JP"/>
              </w:rPr>
              <w:t>6.1.3.5. kai nustatoma, kad paraiškoje ar Aprašo 44 punkte nurodytoje ataskaitoje ir (ar) jų prieduose pateikti subsidijos gavėjo duomenys, dokumentai ir (ar) patvirtinimai yra neteisingi ir per Agentūros nurodytą protingą terminą, kuris negali būti trumpesnis kaip 3 (trys) darbo dienos, skaičiuojamos nuo šio termino nustatymo dienos, atitinkami trūkumai nėra visiškai ir galutinai pašalinami pranešime nurodytomis sąlygomis ir apimtimi;</w:t>
            </w:r>
          </w:p>
          <w:p w14:paraId="2F49977A" w14:textId="77777777" w:rsidR="003B7E8B" w:rsidRDefault="00B7406C">
            <w:pPr>
              <w:jc w:val="both"/>
              <w:rPr>
                <w:rFonts w:eastAsia="Calibri"/>
                <w:szCs w:val="24"/>
              </w:rPr>
            </w:pPr>
            <w:r>
              <w:rPr>
                <w:szCs w:val="24"/>
                <w:lang w:eastAsia="ja-JP"/>
              </w:rPr>
              <w:t>6.1.3.6. kai nustatoma, kad pagal Lietuvos Respublikos ir Europos Sąjungos teisės aktų nustatytas valstybės pagalbos teikimo taisykles atitinkama pagalba negali būti teikiama;</w:t>
            </w:r>
          </w:p>
          <w:p w14:paraId="3544DE11" w14:textId="77777777" w:rsidR="003B7E8B" w:rsidRDefault="00B7406C">
            <w:pPr>
              <w:jc w:val="both"/>
              <w:rPr>
                <w:rFonts w:eastAsia="Calibri"/>
                <w:szCs w:val="24"/>
              </w:rPr>
            </w:pPr>
            <w:r>
              <w:rPr>
                <w:rFonts w:eastAsia="Calibri"/>
                <w:szCs w:val="24"/>
              </w:rPr>
              <w:t>6.1.3.7. Lietuvos Respublikos civilinio kodekso 6.217 straipsnyje nustatytais pagrindais;</w:t>
            </w:r>
          </w:p>
          <w:p w14:paraId="2E07F53D" w14:textId="77777777" w:rsidR="003B7E8B" w:rsidRDefault="00B7406C">
            <w:pPr>
              <w:jc w:val="both"/>
              <w:rPr>
                <w:szCs w:val="24"/>
                <w:lang w:eastAsia="ja-JP"/>
              </w:rPr>
            </w:pPr>
            <w:r>
              <w:rPr>
                <w:szCs w:val="24"/>
                <w:lang w:eastAsia="ja-JP"/>
              </w:rPr>
              <w:t>6.1.3.8. kai subsidijos gavėjas neprašo kompensuoti išlaidų;</w:t>
            </w:r>
          </w:p>
          <w:p w14:paraId="0257EE72" w14:textId="77777777" w:rsidR="003B7E8B" w:rsidRDefault="00B7406C">
            <w:pPr>
              <w:jc w:val="both"/>
              <w:rPr>
                <w:szCs w:val="24"/>
                <w:lang w:eastAsia="ja-JP"/>
              </w:rPr>
            </w:pPr>
            <w:r>
              <w:rPr>
                <w:szCs w:val="24"/>
                <w:lang w:eastAsia="ja-JP"/>
              </w:rPr>
              <w:lastRenderedPageBreak/>
              <w:t>6.1.3.9. kitais Lietuvos Respublikos teisės aktų nustatytais pagrindais;</w:t>
            </w:r>
          </w:p>
          <w:p w14:paraId="02633142" w14:textId="77777777" w:rsidR="003B7E8B" w:rsidRDefault="00B7406C">
            <w:pPr>
              <w:jc w:val="both"/>
              <w:rPr>
                <w:rFonts w:eastAsia="Calibri"/>
                <w:szCs w:val="24"/>
              </w:rPr>
            </w:pPr>
            <w:r>
              <w:rPr>
                <w:rFonts w:eastAsia="Calibri"/>
                <w:szCs w:val="24"/>
              </w:rPr>
              <w:t xml:space="preserve">6.1.4. vienašališkai, nuo pranešimo apie vienašalį šios sutarties nutraukimą išsiuntimo kitai šios sutarties šaliai dienos, kuris siunčiamas šioje sutartyje nustatyta tvarka, nutraukti šią sutartį nesilaikant įspėjimo apie sutarties nutraukimą terminų, jei subsidijos gavėjas informuoja Agentūrą, kad savo iniciatyva atsisako vykdyti šią sutartį ir (arba) įgyvendinti pagal šią sutartį numatytas Aprašo 1 priede subsidijos panaudojimo plane nurodytas veiklas. Laikoma, kad šiuo atveju sutartis yra nutraukta nuo </w:t>
            </w:r>
            <w:r>
              <w:rPr>
                <w:rFonts w:eastAsia="Calibri"/>
                <w:szCs w:val="24"/>
              </w:rPr>
              <w:t>pranešimo apie sutarties nutraukimą išsiuntimo kitai sutarties šaliai iš Agentūros dienos. Nutraukiant sutartį šiuo pagrindu, subsidijos gavėjas nedelsiant, bet ne vėliau kaip per 3 darbo dienas nuo tokio pranešimo išsiuntimo dienos, besąlygiškai grąžina Agentūrai visas Agentūros jam pagal sutartį skirtas ir išmokėtas lėšas projektui įgyvendinti.</w:t>
            </w:r>
          </w:p>
        </w:tc>
      </w:tr>
      <w:tr w:rsidR="003B7E8B" w14:paraId="1756225E" w14:textId="77777777">
        <w:tc>
          <w:tcPr>
            <w:tcW w:w="2439" w:type="dxa"/>
          </w:tcPr>
          <w:p w14:paraId="753C10C9" w14:textId="77777777" w:rsidR="003B7E8B" w:rsidRDefault="00B7406C">
            <w:pPr>
              <w:ind w:right="119"/>
              <w:rPr>
                <w:b/>
                <w:szCs w:val="24"/>
                <w:lang w:eastAsia="ja-JP"/>
              </w:rPr>
            </w:pPr>
            <w:r>
              <w:rPr>
                <w:b/>
                <w:szCs w:val="24"/>
                <w:lang w:eastAsia="ja-JP"/>
              </w:rPr>
              <w:lastRenderedPageBreak/>
              <w:t>7. Atsakomybė</w:t>
            </w:r>
          </w:p>
        </w:tc>
        <w:tc>
          <w:tcPr>
            <w:tcW w:w="7513" w:type="dxa"/>
            <w:gridSpan w:val="3"/>
          </w:tcPr>
          <w:p w14:paraId="1C5CDB71" w14:textId="77777777" w:rsidR="003B7E8B" w:rsidRDefault="00B7406C">
            <w:pPr>
              <w:jc w:val="both"/>
              <w:rPr>
                <w:bCs/>
                <w:szCs w:val="24"/>
                <w:lang w:eastAsia="ja-JP"/>
              </w:rPr>
            </w:pPr>
            <w:r>
              <w:rPr>
                <w:bCs/>
                <w:szCs w:val="24"/>
                <w:lang w:eastAsia="ja-JP"/>
              </w:rPr>
              <w:t>7.1. Už lėšų panaudojimą pagal tikslinę paskirtį bei įsipareigojimų pagal šią sutartį įvykdymą atsako subsidijos gavėjas Lietuvos Respublikos teisės aktų nustatyta tvarka.</w:t>
            </w:r>
          </w:p>
          <w:p w14:paraId="315B5199" w14:textId="77777777" w:rsidR="003B7E8B" w:rsidRDefault="00B7406C">
            <w:pPr>
              <w:jc w:val="both"/>
              <w:rPr>
                <w:lang w:eastAsia="ja-JP"/>
              </w:rPr>
            </w:pPr>
            <w:r>
              <w:rPr>
                <w:lang w:eastAsia="ja-JP"/>
              </w:rPr>
              <w:t>7.2. Už informacijos ir pateiktų duomenų tikslumą, finansinės apskaitos tvarkymą teisės aktų nustatyta tvarka atsako subsidijos gavėjas Lietuvos Respublikos įstatymų ir poįstatyminių teisės aktų nustatyta tvarka.</w:t>
            </w:r>
          </w:p>
        </w:tc>
      </w:tr>
      <w:tr w:rsidR="003B7E8B" w14:paraId="4DFD20D8" w14:textId="77777777">
        <w:tc>
          <w:tcPr>
            <w:tcW w:w="2439" w:type="dxa"/>
          </w:tcPr>
          <w:p w14:paraId="5E712412" w14:textId="77777777" w:rsidR="003B7E8B" w:rsidRDefault="00B7406C">
            <w:pPr>
              <w:ind w:right="119"/>
              <w:rPr>
                <w:b/>
                <w:szCs w:val="24"/>
                <w:lang w:eastAsia="ja-JP"/>
              </w:rPr>
            </w:pPr>
            <w:r>
              <w:rPr>
                <w:b/>
                <w:szCs w:val="24"/>
                <w:lang w:eastAsia="ja-JP"/>
              </w:rPr>
              <w:t>8. Ginčų sprendimas</w:t>
            </w:r>
          </w:p>
        </w:tc>
        <w:tc>
          <w:tcPr>
            <w:tcW w:w="7513" w:type="dxa"/>
            <w:gridSpan w:val="3"/>
          </w:tcPr>
          <w:p w14:paraId="3581C206" w14:textId="77777777" w:rsidR="003B7E8B" w:rsidRDefault="00B7406C">
            <w:pPr>
              <w:jc w:val="both"/>
              <w:rPr>
                <w:rFonts w:eastAsia="Calibri"/>
                <w:szCs w:val="24"/>
              </w:rPr>
            </w:pPr>
            <w:r>
              <w:rPr>
                <w:rFonts w:eastAsia="Calibri"/>
                <w:szCs w:val="24"/>
              </w:rPr>
              <w:t>8.1. Subsidijos gavėjas Agentūros sprendimus ar veiksmus (neveikimą) gali apskųsti Lietuvos administracinių ginčų komisijai arba Regionų administraciniam teismui Lietuvos Respublikos administracinių bylų teisenos įstatymo nustatyta tvarka.</w:t>
            </w:r>
          </w:p>
        </w:tc>
      </w:tr>
      <w:tr w:rsidR="003B7E8B" w14:paraId="3906FF84" w14:textId="77777777">
        <w:tc>
          <w:tcPr>
            <w:tcW w:w="2439" w:type="dxa"/>
          </w:tcPr>
          <w:p w14:paraId="02E1CEF2" w14:textId="77777777" w:rsidR="003B7E8B" w:rsidRDefault="00B7406C">
            <w:pPr>
              <w:rPr>
                <w:b/>
                <w:szCs w:val="24"/>
                <w:lang w:eastAsia="ja-JP"/>
              </w:rPr>
            </w:pPr>
            <w:r>
              <w:rPr>
                <w:b/>
                <w:szCs w:val="24"/>
                <w:lang w:eastAsia="ja-JP"/>
              </w:rPr>
              <w:t>9. Keitimasis informacija</w:t>
            </w:r>
          </w:p>
        </w:tc>
        <w:tc>
          <w:tcPr>
            <w:tcW w:w="7513" w:type="dxa"/>
            <w:gridSpan w:val="3"/>
          </w:tcPr>
          <w:p w14:paraId="2BCCD08A" w14:textId="77777777" w:rsidR="003B7E8B" w:rsidRDefault="00B7406C">
            <w:pPr>
              <w:jc w:val="both"/>
              <w:rPr>
                <w:szCs w:val="24"/>
                <w:lang w:eastAsia="ja-JP"/>
              </w:rPr>
            </w:pPr>
            <w:r>
              <w:rPr>
                <w:szCs w:val="24"/>
                <w:lang w:eastAsia="ja-JP"/>
              </w:rPr>
              <w:t>9.1. Atsiradus nuo šios sutarties šalių nepriklausančių aplinkybių, kurios sutarties šalims trukdo vykdyti šią sutartį, šalys privalo nedelsdamos, bet ne vėliau kaip per 3 darbo dienas nuo tokių aplinkybių sužinojimo momento, apie tai informuoti viena kitą.</w:t>
            </w:r>
          </w:p>
          <w:p w14:paraId="6B690191" w14:textId="77777777" w:rsidR="003B7E8B" w:rsidRDefault="00B7406C">
            <w:pPr>
              <w:jc w:val="both"/>
              <w:rPr>
                <w:rFonts w:eastAsia="Calibri"/>
                <w:szCs w:val="24"/>
              </w:rPr>
            </w:pPr>
            <w:r>
              <w:rPr>
                <w:rFonts w:eastAsia="Calibri"/>
                <w:szCs w:val="24"/>
              </w:rPr>
              <w:t>9.2. Visa informacija, pranešimai, sutikimai, kuriuos šalis gali pateikti pagal šią sutartį, teikiami lietuvių kalba. Visa informacija, įspėjimai ar pranešimai, susiję su šia sutartimi, privalo būti raštiški ir turi būti siunčiami elektroniniu paštu, registruotu laišku ar per kurjerį (su patvirtinimu apie įteikimą) arba įteikiami pasirašytinai sutarties rekvizituose nurodytais adresais kitai sutarties šaliai. Pranešimai kitai sutarties šaliai, išsiųsti elektroniniu paštu, yra laikomi gautais jų išsiuntimo d</w:t>
            </w:r>
            <w:r>
              <w:rPr>
                <w:rFonts w:eastAsia="Calibri"/>
                <w:szCs w:val="24"/>
              </w:rPr>
              <w:t xml:space="preserve">ieną arba kitą darbo dieną, jeigu išsiuntimo diena buvo ne darbo diena. Pranešimai, siųsti registruotu laišku, laikomi įteiktais ne vėliau kaip per 3 darbo dienas nuo jų išsiuntimo dienos. </w:t>
            </w:r>
          </w:p>
          <w:p w14:paraId="366E1ACD" w14:textId="77777777" w:rsidR="003B7E8B" w:rsidRDefault="00B7406C">
            <w:pPr>
              <w:jc w:val="both"/>
              <w:rPr>
                <w:rFonts w:eastAsia="Calibri"/>
                <w:szCs w:val="24"/>
              </w:rPr>
            </w:pPr>
            <w:r>
              <w:rPr>
                <w:rFonts w:eastAsia="Calibri"/>
                <w:szCs w:val="24"/>
              </w:rPr>
              <w:t>9.3. 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tc>
      </w:tr>
      <w:tr w:rsidR="003B7E8B" w14:paraId="6977BF32" w14:textId="77777777">
        <w:tc>
          <w:tcPr>
            <w:tcW w:w="2439" w:type="dxa"/>
          </w:tcPr>
          <w:p w14:paraId="5C854B03" w14:textId="77777777" w:rsidR="003B7E8B" w:rsidRDefault="00B7406C">
            <w:pPr>
              <w:ind w:right="119"/>
              <w:rPr>
                <w:b/>
                <w:szCs w:val="24"/>
                <w:lang w:eastAsia="ja-JP"/>
              </w:rPr>
            </w:pPr>
            <w:r>
              <w:rPr>
                <w:b/>
                <w:szCs w:val="24"/>
                <w:lang w:eastAsia="ja-JP"/>
              </w:rPr>
              <w:t xml:space="preserve">10. Asmens duomenų tvarkymas </w:t>
            </w:r>
          </w:p>
        </w:tc>
        <w:tc>
          <w:tcPr>
            <w:tcW w:w="7513" w:type="dxa"/>
            <w:gridSpan w:val="3"/>
          </w:tcPr>
          <w:p w14:paraId="009B86B0" w14:textId="77777777" w:rsidR="003B7E8B" w:rsidRDefault="00B7406C">
            <w:pPr>
              <w:tabs>
                <w:tab w:val="left" w:pos="142"/>
                <w:tab w:val="left" w:pos="426"/>
                <w:tab w:val="left" w:pos="466"/>
              </w:tabs>
              <w:jc w:val="both"/>
              <w:rPr>
                <w:szCs w:val="24"/>
                <w:lang w:eastAsia="ja-JP"/>
              </w:rPr>
            </w:pPr>
            <w:r>
              <w:rPr>
                <w:szCs w:val="24"/>
                <w:lang w:eastAsia="ja-JP"/>
              </w:rPr>
              <w:t xml:space="preserve">10.1. Šalys sutarties sudarymo ir vykdymo tikslu tvarkys viena kitai pateiktus fizinių asmenų duomenis, pvz., už sutarties vykdymą atsakingų šalių darbuotojų vardus ir pavardes, jų kontaktinę informaciją ir pan. (toliau – Asmens duomenys). Tvarkymo teisinis pagrindas yra sutartis ir </w:t>
            </w:r>
            <w:r>
              <w:rPr>
                <w:szCs w:val="24"/>
                <w:lang w:eastAsia="ja-JP"/>
              </w:rPr>
              <w:lastRenderedPageBreak/>
              <w:t>Agentūrai taikoma teisinė prievolė (Bendrojo duomenų apsaugos reglamento 6 straipsnio 1 dalies b ir c punktai). Asmens duomenis gavusi šalis juos tvarkys ir naudos vadovaudamasi Bendruoju duomenų apsaugos reglamentu, Lietuvos Respublikos asmens duomenų teisinės apsaugos įstatymu ir kitais teisės aktais.</w:t>
            </w:r>
          </w:p>
          <w:p w14:paraId="698AC42F" w14:textId="77777777" w:rsidR="003B7E8B" w:rsidRDefault="00B7406C">
            <w:pPr>
              <w:tabs>
                <w:tab w:val="left" w:pos="142"/>
                <w:tab w:val="left" w:pos="426"/>
                <w:tab w:val="left" w:pos="466"/>
              </w:tabs>
              <w:jc w:val="both"/>
              <w:rPr>
                <w:szCs w:val="24"/>
                <w:lang w:eastAsia="ja-JP"/>
              </w:rPr>
            </w:pPr>
            <w:r>
              <w:rPr>
                <w:szCs w:val="24"/>
                <w:lang w:eastAsia="ja-JP"/>
              </w:rPr>
              <w:t>10.2. Pateiktus Asmens duomenis Agentūra saugos tol, kol bus vykdoma sutartis ir 10 metų pasibaigus sutarčiai archyvavimo tikslu, jeigu duomenys buvo nurodyti sutartyje.</w:t>
            </w:r>
          </w:p>
          <w:p w14:paraId="0B952C66" w14:textId="77777777" w:rsidR="003B7E8B" w:rsidRDefault="00B7406C">
            <w:pPr>
              <w:tabs>
                <w:tab w:val="left" w:pos="142"/>
                <w:tab w:val="left" w:pos="426"/>
                <w:tab w:val="left" w:pos="466"/>
              </w:tabs>
              <w:jc w:val="both"/>
              <w:rPr>
                <w:szCs w:val="24"/>
                <w:lang w:eastAsia="ja-JP"/>
              </w:rPr>
            </w:pPr>
            <w:r>
              <w:rPr>
                <w:szCs w:val="24"/>
                <w:lang w:eastAsia="ja-JP"/>
              </w:rPr>
              <w:t>10.3. Šalys įsipareigoja įgyvendinti tinkamas organizacines ir technines priemones, skirtas apsaugoti Asmens duomenis nuo atsitiktinio ar neteisėto sunaikinimo, pakeitimo, atskleidimo, taip pat nuo bet kokio kito neteisėto tvarkymo, ir užtikrinti duomenų subjekto teisių apsaugą.</w:t>
            </w:r>
          </w:p>
          <w:p w14:paraId="74D50484" w14:textId="77777777" w:rsidR="003B7E8B" w:rsidRDefault="00B7406C">
            <w:pPr>
              <w:tabs>
                <w:tab w:val="left" w:pos="142"/>
                <w:tab w:val="left" w:pos="426"/>
                <w:tab w:val="left" w:pos="466"/>
              </w:tabs>
              <w:jc w:val="both"/>
              <w:rPr>
                <w:szCs w:val="24"/>
                <w:lang w:eastAsia="ja-JP"/>
              </w:rPr>
            </w:pPr>
            <w:r>
              <w:rPr>
                <w:szCs w:val="24"/>
                <w:lang w:eastAsia="ja-JP"/>
              </w:rPr>
              <w:t>10.4. Kai šalis konkrečiai Asmens duomenų tvarkymo veiklai atlikti pasitelkia duomenų tvarkytoją, sutartimi kitam duomenų tvarkytojui nustatomos tos pačios Asmens duomenų apsaugos prievolės kaip ir prievolės, nustatytos šaliai. Kai duomenų tvarkytojas nevykdo duomenų apsaugos prievolių, atitinkama šalis išlieka visiškai atsakinga už to kito duomenų tvarkytojo prievolių vykdymą.</w:t>
            </w:r>
          </w:p>
          <w:p w14:paraId="2B1B3663" w14:textId="77777777" w:rsidR="003B7E8B" w:rsidRDefault="00B7406C">
            <w:pPr>
              <w:tabs>
                <w:tab w:val="left" w:pos="142"/>
                <w:tab w:val="left" w:pos="426"/>
                <w:tab w:val="left" w:pos="466"/>
              </w:tabs>
              <w:jc w:val="both"/>
              <w:rPr>
                <w:szCs w:val="24"/>
                <w:lang w:eastAsia="ja-JP"/>
              </w:rPr>
            </w:pPr>
            <w:r>
              <w:rPr>
                <w:szCs w:val="24"/>
                <w:lang w:eastAsia="ja-JP"/>
              </w:rPr>
              <w:t>10.5. Šalys įsipareigoja užtikrinti, kad Asmens duomenis tvarkyti įgalioti asmenys būtų įsipareigoję užtikrinti konfidencialumą arba jiems būtų taikoma atitinkama teisės normomis nustatyta konfidencialumo prievolė.</w:t>
            </w:r>
          </w:p>
          <w:p w14:paraId="4E02464F" w14:textId="77777777" w:rsidR="003B7E8B" w:rsidRDefault="00B7406C">
            <w:pPr>
              <w:tabs>
                <w:tab w:val="left" w:pos="142"/>
                <w:tab w:val="left" w:pos="426"/>
                <w:tab w:val="left" w:pos="466"/>
              </w:tabs>
              <w:jc w:val="both"/>
              <w:rPr>
                <w:szCs w:val="24"/>
                <w:lang w:eastAsia="ja-JP"/>
              </w:rPr>
            </w:pPr>
            <w:r>
              <w:rPr>
                <w:szCs w:val="24"/>
                <w:lang w:eastAsia="ja-JP"/>
              </w:rPr>
              <w:t xml:space="preserve">10.6. Duomenų subjektas (tas, kurio asmens duomenis šalys tvarko) turi šias teises: </w:t>
            </w:r>
          </w:p>
          <w:p w14:paraId="48503671" w14:textId="77777777" w:rsidR="003B7E8B" w:rsidRDefault="00B7406C">
            <w:pPr>
              <w:tabs>
                <w:tab w:val="left" w:pos="142"/>
                <w:tab w:val="left" w:pos="426"/>
                <w:tab w:val="left" w:pos="466"/>
              </w:tabs>
              <w:jc w:val="both"/>
              <w:rPr>
                <w:szCs w:val="24"/>
                <w:lang w:eastAsia="ja-JP"/>
              </w:rPr>
            </w:pPr>
            <w:r>
              <w:rPr>
                <w:szCs w:val="24"/>
                <w:lang w:eastAsia="ja-JP"/>
              </w:rPr>
              <w:t xml:space="preserve">10.6.1. susipažinti su savo duomenimis ir kaip jie yra tvarkomi (teisė susipažinti); </w:t>
            </w:r>
          </w:p>
          <w:p w14:paraId="48455C8D" w14:textId="77777777" w:rsidR="003B7E8B" w:rsidRDefault="00B7406C">
            <w:pPr>
              <w:tabs>
                <w:tab w:val="left" w:pos="142"/>
                <w:tab w:val="left" w:pos="426"/>
                <w:tab w:val="left" w:pos="466"/>
              </w:tabs>
              <w:jc w:val="both"/>
              <w:rPr>
                <w:szCs w:val="24"/>
                <w:lang w:eastAsia="ja-JP"/>
              </w:rPr>
            </w:pPr>
            <w:r>
              <w:rPr>
                <w:szCs w:val="24"/>
                <w:lang w:eastAsia="ja-JP"/>
              </w:rPr>
              <w:t xml:space="preserve">10.6.2. reikalauti ištaisyti arba, atsižvelgiant į Asmens duomenų tvarkymo tikslus, papildyti neišsamius Asmens duomenis (teisė ištaisyti); </w:t>
            </w:r>
          </w:p>
          <w:p w14:paraId="27FC5C59" w14:textId="77777777" w:rsidR="003B7E8B" w:rsidRDefault="00B7406C">
            <w:pPr>
              <w:tabs>
                <w:tab w:val="left" w:pos="142"/>
                <w:tab w:val="left" w:pos="426"/>
                <w:tab w:val="left" w:pos="466"/>
              </w:tabs>
              <w:jc w:val="both"/>
              <w:rPr>
                <w:szCs w:val="24"/>
                <w:lang w:eastAsia="ja-JP"/>
              </w:rPr>
            </w:pPr>
            <w:r>
              <w:rPr>
                <w:szCs w:val="24"/>
                <w:lang w:eastAsia="ja-JP"/>
              </w:rPr>
              <w:t>10.6.3. savo duomenis sunaikinti arba sustabdyti savo duomenų tvarkymo veiksmus (išskyrus saugojimą) (teisė sunaikinti ir teisė „būti pamirštam“);</w:t>
            </w:r>
          </w:p>
          <w:p w14:paraId="176F94FB" w14:textId="77777777" w:rsidR="003B7E8B" w:rsidRDefault="00B7406C">
            <w:pPr>
              <w:tabs>
                <w:tab w:val="left" w:pos="142"/>
                <w:tab w:val="left" w:pos="426"/>
                <w:tab w:val="left" w:pos="466"/>
              </w:tabs>
              <w:jc w:val="both"/>
              <w:rPr>
                <w:szCs w:val="24"/>
                <w:lang w:eastAsia="ja-JP"/>
              </w:rPr>
            </w:pPr>
            <w:r>
              <w:rPr>
                <w:szCs w:val="24"/>
                <w:lang w:eastAsia="ja-JP"/>
              </w:rPr>
              <w:t xml:space="preserve">10.6.4. reikalauti, kad Asmens duomenų valdytojas apribotų Asmens duomenų tvarkymą (teisė apriboti); </w:t>
            </w:r>
          </w:p>
          <w:p w14:paraId="2EB32213" w14:textId="77777777" w:rsidR="003B7E8B" w:rsidRDefault="00B7406C">
            <w:pPr>
              <w:tabs>
                <w:tab w:val="left" w:pos="142"/>
                <w:tab w:val="left" w:pos="426"/>
                <w:tab w:val="left" w:pos="466"/>
              </w:tabs>
              <w:jc w:val="both"/>
              <w:rPr>
                <w:szCs w:val="24"/>
                <w:lang w:eastAsia="ja-JP"/>
              </w:rPr>
            </w:pPr>
            <w:r>
              <w:rPr>
                <w:szCs w:val="24"/>
                <w:lang w:eastAsia="ja-JP"/>
              </w:rPr>
              <w:t>10.6.5. teisę į duomenų perkėlimą (teisė perkelti);</w:t>
            </w:r>
          </w:p>
          <w:p w14:paraId="292EF1EB" w14:textId="77777777" w:rsidR="003B7E8B" w:rsidRDefault="00B7406C">
            <w:pPr>
              <w:tabs>
                <w:tab w:val="left" w:pos="142"/>
                <w:tab w:val="left" w:pos="426"/>
                <w:tab w:val="left" w:pos="466"/>
              </w:tabs>
              <w:jc w:val="both"/>
              <w:rPr>
                <w:szCs w:val="24"/>
                <w:lang w:eastAsia="ja-JP"/>
              </w:rPr>
            </w:pPr>
            <w:r>
              <w:rPr>
                <w:szCs w:val="24"/>
                <w:lang w:eastAsia="ja-JP"/>
              </w:rPr>
              <w:t>10.6.6. pateikti skundą Valstybinei duomenų apsaugos inspekcijai.</w:t>
            </w:r>
          </w:p>
          <w:p w14:paraId="090394FF" w14:textId="77777777" w:rsidR="003B7E8B" w:rsidRDefault="00B7406C">
            <w:pPr>
              <w:tabs>
                <w:tab w:val="left" w:pos="458"/>
              </w:tabs>
              <w:jc w:val="both"/>
              <w:rPr>
                <w:szCs w:val="24"/>
                <w:lang w:eastAsia="ja-JP"/>
              </w:rPr>
            </w:pPr>
            <w:r>
              <w:rPr>
                <w:szCs w:val="24"/>
                <w:lang w:eastAsia="ja-JP"/>
              </w:rPr>
              <w:t>10.7. Pirmiau nurodytomis teisėmis galima pasinaudoti kreipiantis į atitinkamą sutarties šalį sutarties rekvizituose nurodytais kontaktais.</w:t>
            </w:r>
          </w:p>
        </w:tc>
      </w:tr>
      <w:tr w:rsidR="003B7E8B" w14:paraId="7CF26B40" w14:textId="77777777">
        <w:tc>
          <w:tcPr>
            <w:tcW w:w="2439" w:type="dxa"/>
            <w:tcBorders>
              <w:bottom w:val="single" w:sz="4" w:space="0" w:color="auto"/>
            </w:tcBorders>
          </w:tcPr>
          <w:p w14:paraId="31EEC2B9" w14:textId="77777777" w:rsidR="003B7E8B" w:rsidRDefault="00B7406C">
            <w:pPr>
              <w:ind w:right="119"/>
              <w:rPr>
                <w:b/>
                <w:szCs w:val="24"/>
                <w:lang w:eastAsia="ja-JP"/>
              </w:rPr>
            </w:pPr>
            <w:r>
              <w:rPr>
                <w:b/>
                <w:szCs w:val="24"/>
                <w:lang w:eastAsia="ja-JP"/>
              </w:rPr>
              <w:lastRenderedPageBreak/>
              <w:t>11. Nenugalimos jėgos (</w:t>
            </w:r>
            <w:r>
              <w:rPr>
                <w:b/>
                <w:i/>
                <w:iCs/>
                <w:szCs w:val="24"/>
                <w:lang w:eastAsia="ja-JP"/>
              </w:rPr>
              <w:t>force majeure</w:t>
            </w:r>
            <w:r>
              <w:rPr>
                <w:b/>
                <w:szCs w:val="24"/>
                <w:lang w:eastAsia="ja-JP"/>
              </w:rPr>
              <w:t>) aplinkybės</w:t>
            </w:r>
          </w:p>
        </w:tc>
        <w:tc>
          <w:tcPr>
            <w:tcW w:w="7513" w:type="dxa"/>
            <w:gridSpan w:val="3"/>
            <w:tcBorders>
              <w:bottom w:val="single" w:sz="4" w:space="0" w:color="auto"/>
            </w:tcBorders>
          </w:tcPr>
          <w:p w14:paraId="2FB0F9B7" w14:textId="77777777" w:rsidR="003B7E8B" w:rsidRDefault="00B7406C">
            <w:pPr>
              <w:jc w:val="both"/>
              <w:rPr>
                <w:szCs w:val="24"/>
                <w:lang w:eastAsia="ja-JP"/>
              </w:rPr>
            </w:pPr>
            <w:r>
              <w:rPr>
                <w:szCs w:val="24"/>
                <w:lang w:eastAsia="ja-JP"/>
              </w:rPr>
              <w:t>11.1.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Pr>
                <w:i/>
                <w:iCs/>
                <w:szCs w:val="24"/>
                <w:lang w:eastAsia="ja-JP"/>
              </w:rPr>
              <w:t>force majeure</w:t>
            </w:r>
            <w:r>
              <w:rPr>
                <w:szCs w:val="24"/>
                <w:lang w:eastAsia="ja-JP"/>
              </w:rPr>
              <w:t xml:space="preserve">). </w:t>
            </w:r>
          </w:p>
          <w:p w14:paraId="3368B866" w14:textId="77777777" w:rsidR="003B7E8B" w:rsidRDefault="00B7406C">
            <w:pPr>
              <w:jc w:val="both"/>
              <w:rPr>
                <w:szCs w:val="24"/>
                <w:lang w:eastAsia="ja-JP"/>
              </w:rPr>
            </w:pPr>
            <w:r>
              <w:rPr>
                <w:szCs w:val="24"/>
                <w:lang w:eastAsia="ja-JP"/>
              </w:rPr>
              <w:t>11.2. Nenugalimos jėgos aplinkybėmis laikomos aplinkybės, nurodytos Lietuvos Respublikos civilinio kodekso 6.212 straipsnyje ir Atleidimo nuo atsakomybės esant nenugalimos jėgos (</w:t>
            </w:r>
            <w:r>
              <w:rPr>
                <w:i/>
                <w:iCs/>
                <w:szCs w:val="24"/>
                <w:lang w:eastAsia="ja-JP"/>
              </w:rPr>
              <w:t>force majeure</w:t>
            </w:r>
            <w:r>
              <w:rPr>
                <w:szCs w:val="24"/>
                <w:lang w:eastAsia="ja-JP"/>
              </w:rPr>
              <w:t>) aplinkybėms taisyklėse, patvirtintose Lietuvos Respublikos Vyriausybės 1996 m. liepos 15 d. nutarimu Nr. 840 „Dėl Atleidimo nuo atsakomybės esant nenugalimos jėgos (</w:t>
            </w:r>
            <w:r>
              <w:rPr>
                <w:i/>
                <w:iCs/>
                <w:szCs w:val="24"/>
                <w:lang w:eastAsia="ja-JP"/>
              </w:rPr>
              <w:t>force majeure</w:t>
            </w:r>
            <w:r>
              <w:rPr>
                <w:szCs w:val="24"/>
                <w:lang w:eastAsia="ja-JP"/>
              </w:rPr>
              <w:t xml:space="preserve">) aplinkybėms taisyklių patvirtinimo“. </w:t>
            </w:r>
          </w:p>
          <w:p w14:paraId="5376EF81" w14:textId="77777777" w:rsidR="003B7E8B" w:rsidRDefault="00B7406C">
            <w:pPr>
              <w:jc w:val="both"/>
              <w:rPr>
                <w:szCs w:val="24"/>
                <w:lang w:eastAsia="ja-JP"/>
              </w:rPr>
            </w:pPr>
            <w:r>
              <w:rPr>
                <w:szCs w:val="24"/>
                <w:lang w:eastAsia="ja-JP"/>
              </w:rPr>
              <w:lastRenderedPageBreak/>
              <w:t xml:space="preserve">11.3. Šalis, negalinti pagal sutartį vykdyti savo įsipareigojimų dėl nenugalimos jėgos aplinkybių veikimo, privalo raštu apie tai pranešti kitai šaliai per 10 dienų nuo tokių aplinkybių atsiradimo pradžios. </w:t>
            </w:r>
          </w:p>
          <w:p w14:paraId="14CF0886" w14:textId="77777777" w:rsidR="003B7E8B" w:rsidRDefault="00B7406C">
            <w:pPr>
              <w:jc w:val="both"/>
              <w:rPr>
                <w:szCs w:val="24"/>
                <w:lang w:eastAsia="ja-JP"/>
              </w:rPr>
            </w:pPr>
            <w:r>
              <w:rPr>
                <w:szCs w:val="24"/>
                <w:lang w:eastAsia="ja-JP"/>
              </w:rPr>
              <w:t xml:space="preserve">11.4. Nenugalimos jėgos aplinkybėms pasibaigus, toliau vykdomi sutartyje numatyti šalių įsipareigojimai, jei šalys nesusitaria kitaip. </w:t>
            </w:r>
          </w:p>
          <w:p w14:paraId="6586BC4B" w14:textId="77777777" w:rsidR="003B7E8B" w:rsidRDefault="00B7406C">
            <w:pPr>
              <w:jc w:val="both"/>
              <w:rPr>
                <w:szCs w:val="24"/>
                <w:lang w:eastAsia="ja-JP"/>
              </w:rPr>
            </w:pPr>
            <w:r>
              <w:rPr>
                <w:szCs w:val="24"/>
                <w:lang w:eastAsia="ja-JP"/>
              </w:rPr>
              <w:t>11.5. Jeigu nenugalimos jėgos aplinkybės trunka ilgiau kaip 30 kalendorinių dienų, tokiu atveju bet kuri šalis turi teisę nutraukti sutartį, įspėdama apie tai kitą sutarties šalį prieš 14 kalendorinių dienų. Jei pasibaigus šiam 14 kalendorinių dienų įspėjimo laikotarpiui nenugalimos jėgos aplinkybės vis dar tęsiasi, sutartis nutraukiama ir pagal sutarties sąlygas sutarties šalys atleidžiamos nuo tolesnio sutarties vykdymo.</w:t>
            </w:r>
          </w:p>
        </w:tc>
      </w:tr>
      <w:tr w:rsidR="003B7E8B" w14:paraId="669A0AA3" w14:textId="77777777">
        <w:tc>
          <w:tcPr>
            <w:tcW w:w="2439" w:type="dxa"/>
            <w:tcBorders>
              <w:bottom w:val="single" w:sz="4" w:space="0" w:color="auto"/>
            </w:tcBorders>
          </w:tcPr>
          <w:p w14:paraId="7B096690" w14:textId="77777777" w:rsidR="003B7E8B" w:rsidRDefault="00B7406C">
            <w:pPr>
              <w:ind w:right="119"/>
              <w:rPr>
                <w:b/>
                <w:szCs w:val="24"/>
                <w:lang w:eastAsia="ja-JP"/>
              </w:rPr>
            </w:pPr>
            <w:r>
              <w:rPr>
                <w:b/>
                <w:szCs w:val="24"/>
                <w:lang w:eastAsia="ja-JP"/>
              </w:rPr>
              <w:lastRenderedPageBreak/>
              <w:t>12. Sutarties galiojimas</w:t>
            </w:r>
          </w:p>
        </w:tc>
        <w:tc>
          <w:tcPr>
            <w:tcW w:w="7513" w:type="dxa"/>
            <w:gridSpan w:val="3"/>
            <w:tcBorders>
              <w:bottom w:val="single" w:sz="4" w:space="0" w:color="auto"/>
            </w:tcBorders>
          </w:tcPr>
          <w:p w14:paraId="32B0AD4E" w14:textId="77777777" w:rsidR="003B7E8B" w:rsidRDefault="00B7406C">
            <w:pPr>
              <w:jc w:val="both"/>
              <w:rPr>
                <w:lang w:eastAsia="ja-JP"/>
              </w:rPr>
            </w:pPr>
            <w:r>
              <w:rPr>
                <w:lang w:eastAsia="ja-JP"/>
              </w:rPr>
              <w:t>12.1. Sutartis įsigalioja, kai ją kvalifikuotu elektroniniu parašu arba kitomis elektroninėmis priemonėmis, kurios leidžia užtikrinti teksto vientisumą ir nepakeičiamumą, pasirašo abi šalys, ir galioja tol, kol šalys įvykdo visus savo įsipareigojimus pagal sutartį arba iki kol sutartis nutraukiama.</w:t>
            </w:r>
          </w:p>
          <w:p w14:paraId="3EF56114" w14:textId="77777777" w:rsidR="003B7E8B" w:rsidRDefault="00B7406C">
            <w:pPr>
              <w:jc w:val="both"/>
              <w:rPr>
                <w:szCs w:val="24"/>
                <w:lang w:eastAsia="ja-JP"/>
              </w:rPr>
            </w:pPr>
            <w:r>
              <w:rPr>
                <w:szCs w:val="24"/>
                <w:lang w:eastAsia="ja-JP"/>
              </w:rPr>
              <w:t>12.2. Jei bet kuri šios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tc>
      </w:tr>
      <w:tr w:rsidR="003B7E8B" w14:paraId="5C771C56" w14:textId="77777777">
        <w:tc>
          <w:tcPr>
            <w:tcW w:w="2439" w:type="dxa"/>
            <w:tcBorders>
              <w:bottom w:val="single" w:sz="4" w:space="0" w:color="auto"/>
            </w:tcBorders>
          </w:tcPr>
          <w:p w14:paraId="3E970F45" w14:textId="77777777" w:rsidR="003B7E8B" w:rsidRDefault="00B7406C">
            <w:pPr>
              <w:ind w:right="119"/>
              <w:rPr>
                <w:b/>
                <w:szCs w:val="24"/>
                <w:lang w:eastAsia="ja-JP"/>
              </w:rPr>
            </w:pPr>
            <w:r>
              <w:rPr>
                <w:b/>
                <w:szCs w:val="24"/>
                <w:lang w:eastAsia="ja-JP"/>
              </w:rPr>
              <w:t>13. Baigiamosios nuostatos</w:t>
            </w:r>
          </w:p>
        </w:tc>
        <w:tc>
          <w:tcPr>
            <w:tcW w:w="7513" w:type="dxa"/>
            <w:gridSpan w:val="3"/>
            <w:tcBorders>
              <w:bottom w:val="single" w:sz="4" w:space="0" w:color="auto"/>
            </w:tcBorders>
          </w:tcPr>
          <w:p w14:paraId="44318DCD" w14:textId="77777777" w:rsidR="003B7E8B" w:rsidRDefault="00B7406C">
            <w:pPr>
              <w:jc w:val="both"/>
              <w:rPr>
                <w:szCs w:val="24"/>
                <w:lang w:eastAsia="ja-JP"/>
              </w:rPr>
            </w:pPr>
            <w:r>
              <w:rPr>
                <w:szCs w:val="24"/>
                <w:lang w:eastAsia="ja-JP"/>
              </w:rPr>
              <w:t>13.1. Sutarčiai ir visoms iš šios sutarties atsirandančioms teisėms ir pareigoms taikomi Europos sąjungos ir Lietuvos Respublikos teisės aktai. Sutartis sudaryta ir turi būti aiškinama pagal Europos sąjungos ir Lietuvos Respublikos teisę.</w:t>
            </w:r>
          </w:p>
          <w:p w14:paraId="3C19D31B" w14:textId="77777777" w:rsidR="003B7E8B" w:rsidRDefault="00B7406C">
            <w:pPr>
              <w:jc w:val="both"/>
              <w:rPr>
                <w:szCs w:val="24"/>
                <w:lang w:eastAsia="ja-JP"/>
              </w:rPr>
            </w:pPr>
            <w:r>
              <w:rPr>
                <w:szCs w:val="24"/>
                <w:lang w:eastAsia="ja-JP"/>
              </w:rPr>
              <w:t>13.2. Visus kitus klausimus, kurie neaptarti sutartyje, reguliuoja Europos sąjungos ir Lietuvos Respublikos teisės aktai.</w:t>
            </w:r>
          </w:p>
          <w:p w14:paraId="45C48049" w14:textId="77777777" w:rsidR="003B7E8B" w:rsidRDefault="00B7406C">
            <w:pPr>
              <w:jc w:val="both"/>
              <w:rPr>
                <w:szCs w:val="24"/>
                <w:lang w:eastAsia="ja-JP"/>
              </w:rPr>
            </w:pPr>
            <w:r>
              <w:rPr>
                <w:szCs w:val="24"/>
                <w:lang w:eastAsia="ja-JP"/>
              </w:rPr>
              <w:t>13.3. Šalys sulygsta, kad šios sutarties turinys ir visa informacija, kurią šalys sužinojo sutarties sudarymo ir jos vykdymo metu, laikytina konfidencialia informacija. Pasirašydamos šią sutartį šalys įsipareigoja tiek šios sutarties galiojimo metu, tiek jai pasibaigus neatskleisti jokiam trečiajam asmeniui jokios pagal šią sutartį šalių laikytinos konfidencialios informacijos be išankstinio rašytinio kitos šalies sutikimo. Šalys aiškiai sulygsta, kad konfidencialios informacijos apie sutartį atskleidimu ne</w:t>
            </w:r>
            <w:r>
              <w:rPr>
                <w:szCs w:val="24"/>
                <w:lang w:eastAsia="ja-JP"/>
              </w:rPr>
              <w:t xml:space="preserve">laikomas šios informacijos pateikimas šalių teisininkams, auditoriams, steigėjams bei asmenims, kuriems tam tikra konfidenciali informacija turi būti atskleista vykdant įstatymų reikalavimus. </w:t>
            </w:r>
          </w:p>
          <w:p w14:paraId="1E7A4351" w14:textId="77777777" w:rsidR="003B7E8B" w:rsidRDefault="00B7406C">
            <w:pPr>
              <w:jc w:val="both"/>
              <w:rPr>
                <w:szCs w:val="24"/>
                <w:lang w:eastAsia="ja-JP"/>
              </w:rPr>
            </w:pPr>
            <w:r>
              <w:rPr>
                <w:szCs w:val="24"/>
                <w:lang w:eastAsia="ja-JP"/>
              </w:rPr>
              <w:t>13.4.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53754940" w14:textId="77777777" w:rsidR="003B7E8B" w:rsidRDefault="00B7406C">
            <w:pPr>
              <w:jc w:val="both"/>
              <w:rPr>
                <w:szCs w:val="24"/>
                <w:lang w:eastAsia="ja-JP"/>
              </w:rPr>
            </w:pPr>
            <w:r>
              <w:rPr>
                <w:szCs w:val="24"/>
                <w:lang w:eastAsia="ja-JP"/>
              </w:rPr>
              <w:t xml:space="preserve">13.5. Sutartis sudaryta lietuvių kalba ir pasirašoma kvalifikuotais elektroniniais parašais. </w:t>
            </w:r>
          </w:p>
          <w:p w14:paraId="5587F963" w14:textId="77777777" w:rsidR="003B7E8B" w:rsidRDefault="003B7E8B">
            <w:pPr>
              <w:jc w:val="both"/>
              <w:rPr>
                <w:szCs w:val="24"/>
                <w:lang w:eastAsia="ja-JP"/>
              </w:rPr>
            </w:pPr>
          </w:p>
        </w:tc>
      </w:tr>
      <w:tr w:rsidR="003B7E8B" w14:paraId="71292C2E" w14:textId="77777777">
        <w:tc>
          <w:tcPr>
            <w:tcW w:w="2439" w:type="dxa"/>
            <w:tcBorders>
              <w:bottom w:val="single" w:sz="4" w:space="0" w:color="auto"/>
            </w:tcBorders>
          </w:tcPr>
          <w:p w14:paraId="6086F31F" w14:textId="77777777" w:rsidR="003B7E8B" w:rsidRDefault="00B7406C">
            <w:pPr>
              <w:ind w:right="119"/>
              <w:rPr>
                <w:b/>
                <w:szCs w:val="24"/>
                <w:lang w:eastAsia="ja-JP"/>
              </w:rPr>
            </w:pPr>
            <w:r>
              <w:rPr>
                <w:b/>
                <w:szCs w:val="24"/>
                <w:lang w:eastAsia="ja-JP"/>
              </w:rPr>
              <w:t>14. Priedai</w:t>
            </w:r>
          </w:p>
        </w:tc>
        <w:tc>
          <w:tcPr>
            <w:tcW w:w="7513" w:type="dxa"/>
            <w:gridSpan w:val="3"/>
            <w:tcBorders>
              <w:bottom w:val="single" w:sz="4" w:space="0" w:color="auto"/>
            </w:tcBorders>
          </w:tcPr>
          <w:p w14:paraId="3429CAF9" w14:textId="77777777" w:rsidR="003B7E8B" w:rsidRDefault="00B7406C">
            <w:pPr>
              <w:spacing w:line="279" w:lineRule="auto"/>
              <w:jc w:val="both"/>
              <w:rPr>
                <w:color w:val="000000"/>
                <w:lang w:eastAsia="ja-JP"/>
              </w:rPr>
            </w:pPr>
            <w:r>
              <w:rPr>
                <w:lang w:eastAsia="ja-JP"/>
              </w:rPr>
              <w:t>14.1. </w:t>
            </w:r>
            <w:r>
              <w:rPr>
                <w:color w:val="000000"/>
                <w:lang w:eastAsia="ja-JP"/>
              </w:rPr>
              <w:t>Tikslinių kompetencijų ugdymo palydimųjų subsidijų smulkiojo ir vidutinio verslo subjektams paraiška.</w:t>
            </w:r>
          </w:p>
          <w:p w14:paraId="425C7CB6" w14:textId="77777777" w:rsidR="003B7E8B" w:rsidRDefault="00B7406C">
            <w:pPr>
              <w:spacing w:line="279" w:lineRule="auto"/>
              <w:jc w:val="both"/>
              <w:rPr>
                <w:color w:val="000000"/>
                <w:szCs w:val="24"/>
                <w:lang w:eastAsia="ja-JP"/>
              </w:rPr>
            </w:pPr>
            <w:r>
              <w:rPr>
                <w:color w:val="000000"/>
                <w:szCs w:val="24"/>
                <w:lang w:eastAsia="ja-JP"/>
              </w:rPr>
              <w:lastRenderedPageBreak/>
              <w:t xml:space="preserve">14.2. Remiamų smulkiojo ir vidutinio verslo subjektų veiklos išlaidų ataskaita. </w:t>
            </w:r>
          </w:p>
        </w:tc>
      </w:tr>
      <w:tr w:rsidR="003B7E8B" w14:paraId="6E15150C" w14:textId="7777777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978"/>
        </w:trPr>
        <w:tc>
          <w:tcPr>
            <w:tcW w:w="4665" w:type="dxa"/>
            <w:gridSpan w:val="2"/>
            <w:tcBorders>
              <w:top w:val="single" w:sz="4" w:space="0" w:color="auto"/>
              <w:left w:val="nil"/>
              <w:bottom w:val="nil"/>
              <w:right w:val="nil"/>
            </w:tcBorders>
          </w:tcPr>
          <w:p w14:paraId="5390C749" w14:textId="77777777" w:rsidR="003B7E8B" w:rsidRDefault="003B7E8B">
            <w:pPr>
              <w:rPr>
                <w:rFonts w:eastAsia="Calibri"/>
                <w:szCs w:val="24"/>
              </w:rPr>
            </w:pPr>
          </w:p>
          <w:p w14:paraId="743A2EFB" w14:textId="77777777" w:rsidR="003B7E8B" w:rsidRDefault="003B7E8B">
            <w:pPr>
              <w:rPr>
                <w:rFonts w:eastAsia="Calibri"/>
                <w:szCs w:val="24"/>
              </w:rPr>
            </w:pPr>
          </w:p>
          <w:p w14:paraId="77294FDC" w14:textId="77777777" w:rsidR="003B7E8B" w:rsidRDefault="003B7E8B">
            <w:pPr>
              <w:rPr>
                <w:rFonts w:eastAsia="Calibri"/>
                <w:szCs w:val="24"/>
              </w:rPr>
            </w:pPr>
          </w:p>
          <w:p w14:paraId="06E9B4B8" w14:textId="77777777" w:rsidR="003B7E8B" w:rsidRDefault="00B7406C">
            <w:pPr>
              <w:rPr>
                <w:rFonts w:eastAsia="Calibri"/>
                <w:b/>
                <w:bCs/>
              </w:rPr>
            </w:pPr>
            <w:r>
              <w:rPr>
                <w:rFonts w:eastAsia="Calibri"/>
                <w:b/>
                <w:bCs/>
              </w:rPr>
              <w:t>Viešoji įstaiga Inovacijų agentūra</w:t>
            </w:r>
          </w:p>
        </w:tc>
        <w:tc>
          <w:tcPr>
            <w:tcW w:w="453" w:type="dxa"/>
            <w:tcBorders>
              <w:top w:val="single" w:sz="4" w:space="0" w:color="auto"/>
              <w:left w:val="nil"/>
              <w:bottom w:val="nil"/>
              <w:right w:val="nil"/>
            </w:tcBorders>
          </w:tcPr>
          <w:p w14:paraId="4EC6ABD1" w14:textId="77777777" w:rsidR="003B7E8B" w:rsidRDefault="003B7E8B">
            <w:pPr>
              <w:rPr>
                <w:rFonts w:eastAsia="Calibri"/>
                <w:szCs w:val="24"/>
              </w:rPr>
            </w:pPr>
          </w:p>
        </w:tc>
        <w:tc>
          <w:tcPr>
            <w:tcW w:w="4834" w:type="dxa"/>
            <w:tcBorders>
              <w:top w:val="single" w:sz="4" w:space="0" w:color="auto"/>
              <w:left w:val="nil"/>
              <w:bottom w:val="nil"/>
              <w:right w:val="nil"/>
            </w:tcBorders>
          </w:tcPr>
          <w:p w14:paraId="36BA5AE0" w14:textId="77777777" w:rsidR="003B7E8B" w:rsidRDefault="003B7E8B">
            <w:pPr>
              <w:ind w:left="317" w:firstLine="142"/>
              <w:rPr>
                <w:rFonts w:eastAsia="Calibri"/>
                <w:szCs w:val="24"/>
              </w:rPr>
            </w:pPr>
          </w:p>
          <w:p w14:paraId="263D1712" w14:textId="77777777" w:rsidR="003B7E8B" w:rsidRDefault="003B7E8B">
            <w:pPr>
              <w:ind w:left="317" w:firstLine="142"/>
              <w:rPr>
                <w:rFonts w:eastAsia="Calibri"/>
                <w:szCs w:val="24"/>
              </w:rPr>
            </w:pPr>
          </w:p>
          <w:p w14:paraId="10AAE343" w14:textId="77777777" w:rsidR="003B7E8B" w:rsidRDefault="003B7E8B">
            <w:pPr>
              <w:ind w:left="317" w:firstLine="142"/>
              <w:rPr>
                <w:rFonts w:eastAsia="Calibri"/>
                <w:szCs w:val="24"/>
              </w:rPr>
            </w:pPr>
          </w:p>
          <w:p w14:paraId="06DD2D07" w14:textId="77777777" w:rsidR="003B7E8B" w:rsidRDefault="00B7406C">
            <w:pPr>
              <w:rPr>
                <w:rFonts w:eastAsia="Calibri"/>
                <w:b/>
                <w:bCs/>
                <w:szCs w:val="24"/>
              </w:rPr>
            </w:pPr>
            <w:r>
              <w:rPr>
                <w:rFonts w:eastAsia="Calibri"/>
                <w:b/>
                <w:bCs/>
                <w:szCs w:val="24"/>
              </w:rPr>
              <w:t xml:space="preserve">Subsidijos gavėjas </w:t>
            </w:r>
          </w:p>
        </w:tc>
      </w:tr>
      <w:tr w:rsidR="003B7E8B" w14:paraId="3401E570" w14:textId="7777777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8"/>
        </w:trPr>
        <w:tc>
          <w:tcPr>
            <w:tcW w:w="4665" w:type="dxa"/>
            <w:gridSpan w:val="2"/>
            <w:tcBorders>
              <w:top w:val="nil"/>
              <w:left w:val="nil"/>
              <w:bottom w:val="nil"/>
              <w:right w:val="nil"/>
            </w:tcBorders>
          </w:tcPr>
          <w:p w14:paraId="39D54D58" w14:textId="77777777" w:rsidR="003B7E8B" w:rsidRDefault="003B7E8B">
            <w:pPr>
              <w:rPr>
                <w:rFonts w:eastAsia="Calibri"/>
                <w:szCs w:val="24"/>
              </w:rPr>
            </w:pPr>
          </w:p>
          <w:p w14:paraId="4704F6AB" w14:textId="77777777" w:rsidR="003B7E8B" w:rsidRDefault="00B7406C">
            <w:pPr>
              <w:rPr>
                <w:rFonts w:eastAsia="Calibri"/>
                <w:szCs w:val="24"/>
              </w:rPr>
            </w:pPr>
            <w:r>
              <w:rPr>
                <w:rFonts w:eastAsia="Calibri"/>
                <w:szCs w:val="24"/>
              </w:rPr>
              <w:t>______________________________</w:t>
            </w:r>
          </w:p>
          <w:p w14:paraId="2477E5D3" w14:textId="77777777" w:rsidR="003B7E8B" w:rsidRDefault="00B7406C">
            <w:pPr>
              <w:rPr>
                <w:rFonts w:eastAsia="Calibri"/>
                <w:szCs w:val="24"/>
              </w:rPr>
            </w:pPr>
            <w:r>
              <w:rPr>
                <w:rFonts w:eastAsia="Calibri"/>
                <w:szCs w:val="24"/>
              </w:rPr>
              <w:t>(pareigos, vardas ir pavardė, parašas)</w:t>
            </w:r>
          </w:p>
        </w:tc>
        <w:tc>
          <w:tcPr>
            <w:tcW w:w="453" w:type="dxa"/>
            <w:tcBorders>
              <w:top w:val="nil"/>
              <w:left w:val="nil"/>
              <w:bottom w:val="nil"/>
              <w:right w:val="nil"/>
            </w:tcBorders>
          </w:tcPr>
          <w:p w14:paraId="26B8921E" w14:textId="77777777" w:rsidR="003B7E8B" w:rsidRDefault="003B7E8B">
            <w:pPr>
              <w:rPr>
                <w:rFonts w:eastAsia="Calibri"/>
                <w:szCs w:val="24"/>
              </w:rPr>
            </w:pPr>
          </w:p>
        </w:tc>
        <w:tc>
          <w:tcPr>
            <w:tcW w:w="4834" w:type="dxa"/>
            <w:tcBorders>
              <w:top w:val="nil"/>
              <w:left w:val="nil"/>
              <w:bottom w:val="nil"/>
              <w:right w:val="nil"/>
            </w:tcBorders>
          </w:tcPr>
          <w:p w14:paraId="11CA40CC" w14:textId="77777777" w:rsidR="003B7E8B" w:rsidRDefault="003B7E8B">
            <w:pPr>
              <w:rPr>
                <w:rFonts w:eastAsia="Calibri"/>
                <w:szCs w:val="24"/>
              </w:rPr>
            </w:pPr>
          </w:p>
          <w:p w14:paraId="172498EB" w14:textId="77777777" w:rsidR="003B7E8B" w:rsidRDefault="00B7406C">
            <w:pPr>
              <w:rPr>
                <w:rFonts w:eastAsia="Calibri"/>
                <w:szCs w:val="24"/>
              </w:rPr>
            </w:pPr>
            <w:r>
              <w:rPr>
                <w:rFonts w:eastAsia="Calibri"/>
                <w:szCs w:val="24"/>
              </w:rPr>
              <w:t>______________________________</w:t>
            </w:r>
          </w:p>
          <w:p w14:paraId="720B3BCC" w14:textId="77777777" w:rsidR="003B7E8B" w:rsidRDefault="00B7406C">
            <w:pPr>
              <w:rPr>
                <w:rFonts w:eastAsia="Calibri"/>
                <w:szCs w:val="24"/>
              </w:rPr>
            </w:pPr>
            <w:r>
              <w:rPr>
                <w:rFonts w:eastAsia="Calibri"/>
                <w:szCs w:val="24"/>
              </w:rPr>
              <w:t>(pareigos, vardas ir pavardė, parašas)</w:t>
            </w:r>
          </w:p>
        </w:tc>
      </w:tr>
      <w:tr w:rsidR="003B7E8B" w14:paraId="2C2B9C66" w14:textId="7777777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14"/>
        </w:trPr>
        <w:tc>
          <w:tcPr>
            <w:tcW w:w="4665" w:type="dxa"/>
            <w:gridSpan w:val="2"/>
            <w:tcBorders>
              <w:top w:val="nil"/>
              <w:left w:val="nil"/>
              <w:bottom w:val="nil"/>
              <w:right w:val="nil"/>
            </w:tcBorders>
            <w:vAlign w:val="center"/>
          </w:tcPr>
          <w:p w14:paraId="47CBDBEB" w14:textId="77777777" w:rsidR="003B7E8B" w:rsidRDefault="003B7E8B">
            <w:pPr>
              <w:rPr>
                <w:rFonts w:eastAsia="Calibri"/>
                <w:szCs w:val="24"/>
              </w:rPr>
            </w:pPr>
          </w:p>
          <w:p w14:paraId="72C0A53A" w14:textId="77777777" w:rsidR="003B7E8B" w:rsidRDefault="003B7E8B">
            <w:pPr>
              <w:rPr>
                <w:rFonts w:eastAsia="Calibri"/>
                <w:szCs w:val="24"/>
              </w:rPr>
            </w:pPr>
          </w:p>
        </w:tc>
        <w:tc>
          <w:tcPr>
            <w:tcW w:w="453" w:type="dxa"/>
            <w:tcBorders>
              <w:top w:val="nil"/>
              <w:left w:val="nil"/>
              <w:bottom w:val="nil"/>
              <w:right w:val="nil"/>
            </w:tcBorders>
          </w:tcPr>
          <w:p w14:paraId="638FA09F" w14:textId="77777777" w:rsidR="003B7E8B" w:rsidRDefault="003B7E8B">
            <w:pPr>
              <w:rPr>
                <w:rFonts w:eastAsia="Calibri"/>
                <w:szCs w:val="24"/>
              </w:rPr>
            </w:pPr>
          </w:p>
        </w:tc>
        <w:tc>
          <w:tcPr>
            <w:tcW w:w="4834" w:type="dxa"/>
            <w:tcBorders>
              <w:top w:val="nil"/>
              <w:left w:val="nil"/>
              <w:bottom w:val="nil"/>
              <w:right w:val="nil"/>
            </w:tcBorders>
            <w:vAlign w:val="center"/>
          </w:tcPr>
          <w:p w14:paraId="1811EC06" w14:textId="77777777" w:rsidR="003B7E8B" w:rsidRDefault="003B7E8B">
            <w:pPr>
              <w:rPr>
                <w:rFonts w:eastAsia="Calibri"/>
                <w:szCs w:val="24"/>
              </w:rPr>
            </w:pPr>
          </w:p>
          <w:p w14:paraId="02986A1D" w14:textId="77777777" w:rsidR="003B7E8B" w:rsidRDefault="003B7E8B">
            <w:pPr>
              <w:rPr>
                <w:rFonts w:eastAsia="Calibri"/>
                <w:szCs w:val="24"/>
              </w:rPr>
            </w:pPr>
          </w:p>
        </w:tc>
      </w:tr>
    </w:tbl>
    <w:p w14:paraId="201BC1F0" w14:textId="77777777" w:rsidR="003B7E8B" w:rsidRDefault="00B7406C"/>
    <w:p w14:paraId="63EBC63D" w14:textId="77777777" w:rsidR="003B7E8B" w:rsidRDefault="00B7406C">
      <w:pPr>
        <w:spacing w:line="279" w:lineRule="auto"/>
        <w:jc w:val="center"/>
        <w:rPr>
          <w:color w:val="000000"/>
          <w:sz w:val="22"/>
          <w:szCs w:val="22"/>
          <w:lang w:eastAsia="ja-JP"/>
        </w:rPr>
      </w:pPr>
      <w:r>
        <w:rPr>
          <w:sz w:val="20"/>
          <w:lang w:eastAsia="ja-JP"/>
        </w:rPr>
        <w:t>_________________________________</w:t>
      </w:r>
    </w:p>
    <w:sectPr w:rsidR="003B7E8B" w:rsidSect="00850169">
      <w:headerReference w:type="even" r:id="rId12"/>
      <w:headerReference w:type="default" r:id="rId13"/>
      <w:footerReference w:type="even" r:id="rId14"/>
      <w:footerReference w:type="default" r:id="rId15"/>
      <w:headerReference w:type="first" r:id="rId16"/>
      <w:footerReference w:type="first" r:id="rId17"/>
      <w:pgSz w:w="12240" w:h="15840" w:code="1"/>
      <w:pgMar w:top="1134" w:right="618" w:bottom="1559"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A29F" w14:textId="77777777" w:rsidR="00B7406C" w:rsidRDefault="00B7406C">
      <w:pPr>
        <w:rPr>
          <w:szCs w:val="24"/>
          <w:lang w:eastAsia="ja-JP"/>
        </w:rPr>
      </w:pPr>
      <w:r>
        <w:rPr>
          <w:szCs w:val="24"/>
          <w:lang w:eastAsia="ja-JP"/>
        </w:rPr>
        <w:separator/>
      </w:r>
    </w:p>
  </w:endnote>
  <w:endnote w:type="continuationSeparator" w:id="0">
    <w:p w14:paraId="5BEB88DF" w14:textId="77777777" w:rsidR="00B7406C" w:rsidRDefault="00B7406C">
      <w:pPr>
        <w:rPr>
          <w:szCs w:val="24"/>
          <w:lang w:eastAsia="ja-JP"/>
        </w:rPr>
      </w:pPr>
      <w:r>
        <w:rPr>
          <w:szCs w:val="24"/>
          <w:lang w:eastAsia="ja-JP"/>
        </w:rPr>
        <w:continuationSeparator/>
      </w:r>
    </w:p>
  </w:endnote>
  <w:endnote w:type="continuationNotice" w:id="1">
    <w:p w14:paraId="6488E967" w14:textId="77777777" w:rsidR="00B7406C" w:rsidRDefault="00B7406C">
      <w:pPr>
        <w:rPr>
          <w:szCs w:val="24"/>
          <w:lang w:eastAsia="ja-JP"/>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B2A0" w14:textId="77777777" w:rsidR="003B7E8B" w:rsidRDefault="003B7E8B">
    <w:pPr>
      <w:tabs>
        <w:tab w:val="center" w:pos="4680"/>
        <w:tab w:val="right" w:pos="9360"/>
      </w:tabs>
      <w:rPr>
        <w:szCs w:val="24"/>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1833" w14:textId="77777777" w:rsidR="003B7E8B" w:rsidRDefault="003B7E8B">
    <w:pPr>
      <w:tabs>
        <w:tab w:val="center" w:pos="4680"/>
        <w:tab w:val="right" w:pos="9360"/>
      </w:tabs>
      <w:rPr>
        <w:szCs w:val="24"/>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A2A6" w14:textId="77777777" w:rsidR="003B7E8B" w:rsidRDefault="003B7E8B">
    <w:pPr>
      <w:tabs>
        <w:tab w:val="center" w:pos="4680"/>
        <w:tab w:val="right" w:pos="9360"/>
      </w:tabs>
      <w:rPr>
        <w:szCs w:val="24"/>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BDBB" w14:textId="77777777" w:rsidR="00B7406C" w:rsidRDefault="00B7406C">
      <w:pPr>
        <w:rPr>
          <w:szCs w:val="24"/>
          <w:lang w:eastAsia="ja-JP"/>
        </w:rPr>
      </w:pPr>
      <w:r>
        <w:rPr>
          <w:szCs w:val="24"/>
          <w:lang w:eastAsia="ja-JP"/>
        </w:rPr>
        <w:separator/>
      </w:r>
    </w:p>
  </w:footnote>
  <w:footnote w:type="continuationSeparator" w:id="0">
    <w:p w14:paraId="68DF1D86" w14:textId="77777777" w:rsidR="00B7406C" w:rsidRDefault="00B7406C">
      <w:pPr>
        <w:rPr>
          <w:szCs w:val="24"/>
          <w:lang w:eastAsia="ja-JP"/>
        </w:rPr>
      </w:pPr>
      <w:r>
        <w:rPr>
          <w:szCs w:val="24"/>
          <w:lang w:eastAsia="ja-JP"/>
        </w:rPr>
        <w:continuationSeparator/>
      </w:r>
    </w:p>
  </w:footnote>
  <w:footnote w:type="continuationNotice" w:id="1">
    <w:p w14:paraId="10F5A1F5" w14:textId="77777777" w:rsidR="00B7406C" w:rsidRDefault="00B7406C">
      <w:pPr>
        <w:rPr>
          <w:szCs w:val="24"/>
          <w:lang w:eastAsia="ja-JP"/>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46B6" w14:textId="77777777" w:rsidR="003B7E8B" w:rsidRDefault="003B7E8B">
    <w:pPr>
      <w:tabs>
        <w:tab w:val="center" w:pos="4680"/>
        <w:tab w:val="right" w:pos="9360"/>
      </w:tabs>
      <w:rPr>
        <w:szCs w:val="24"/>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0F0D" w14:textId="06AAD409" w:rsidR="003B7E8B" w:rsidRDefault="00B7406C" w:rsidP="00850169">
    <w:pPr>
      <w:tabs>
        <w:tab w:val="center" w:pos="4680"/>
        <w:tab w:val="right" w:pos="9360"/>
      </w:tabs>
      <w:jc w:val="center"/>
      <w:rPr>
        <w:szCs w:val="24"/>
        <w:lang w:eastAsia="ja-JP"/>
      </w:rPr>
    </w:pPr>
    <w:r>
      <w:rPr>
        <w:szCs w:val="24"/>
        <w:lang w:eastAsia="ja-JP"/>
      </w:rPr>
      <w:fldChar w:fldCharType="begin"/>
    </w:r>
    <w:r>
      <w:rPr>
        <w:szCs w:val="24"/>
        <w:lang w:eastAsia="ja-JP"/>
      </w:rPr>
      <w:instrText>PAGE   \* MERGEFORMAT</w:instrText>
    </w:r>
    <w:r>
      <w:rPr>
        <w:szCs w:val="24"/>
        <w:lang w:eastAsia="ja-JP"/>
      </w:rPr>
      <w:fldChar w:fldCharType="separate"/>
    </w:r>
    <w:r>
      <w:rPr>
        <w:szCs w:val="24"/>
        <w:lang w:eastAsia="ja-JP"/>
      </w:rPr>
      <w:t>2</w:t>
    </w:r>
    <w:r>
      <w:rPr>
        <w:szCs w:val="24"/>
        <w:lang w:eastAsia="ja-JP"/>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CF56" w14:textId="77777777" w:rsidR="003B7E8B" w:rsidRDefault="003B7E8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F20900"/>
    <w:rsid w:val="002151F7"/>
    <w:rsid w:val="003B7E8B"/>
    <w:rsid w:val="00850169"/>
    <w:rsid w:val="00B7406C"/>
    <w:rsid w:val="39F209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18B0"/>
  <w15:chartTrackingRefBased/>
  <w15:docId w15:val="{CAA7671A-A07F-43E4-9A9E-C60AA620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34101">
      <w:bodyDiv w:val="1"/>
      <w:marLeft w:val="0"/>
      <w:marRight w:val="0"/>
      <w:marTop w:val="0"/>
      <w:marBottom w:val="0"/>
      <w:divBdr>
        <w:top w:val="none" w:sz="0" w:space="0" w:color="auto"/>
        <w:left w:val="none" w:sz="0" w:space="0" w:color="auto"/>
        <w:bottom w:val="none" w:sz="0" w:space="0" w:color="auto"/>
        <w:right w:val="none" w:sz="0" w:space="0" w:color="auto"/>
      </w:divBdr>
    </w:div>
    <w:div w:id="1348754366">
      <w:bodyDiv w:val="1"/>
      <w:marLeft w:val="0"/>
      <w:marRight w:val="0"/>
      <w:marTop w:val="0"/>
      <w:marBottom w:val="0"/>
      <w:divBdr>
        <w:top w:val="none" w:sz="0" w:space="0" w:color="auto"/>
        <w:left w:val="none" w:sz="0" w:space="0" w:color="auto"/>
        <w:bottom w:val="none" w:sz="0" w:space="0" w:color="auto"/>
        <w:right w:val="none" w:sz="0" w:space="0" w:color="auto"/>
      </w:divBdr>
    </w:div>
    <w:div w:id="1358116733">
      <w:bodyDiv w:val="1"/>
      <w:marLeft w:val="0"/>
      <w:marRight w:val="0"/>
      <w:marTop w:val="0"/>
      <w:marBottom w:val="0"/>
      <w:divBdr>
        <w:top w:val="none" w:sz="0" w:space="0" w:color="auto"/>
        <w:left w:val="none" w:sz="0" w:space="0" w:color="auto"/>
        <w:bottom w:val="none" w:sz="0" w:space="0" w:color="auto"/>
        <w:right w:val="none" w:sz="0" w:space="0" w:color="auto"/>
      </w:divBdr>
    </w:div>
    <w:div w:id="1467813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yperlink" TargetMode="External" Target="http://eur-lex.europa.eu/legal-content/LIT/TXT/?uri=CELEX:32015R1589&amp;locale=lt"/>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70344933-AEC0-4AE4-97BC-AD0FB1640363}">
  <ds:schemaRefs>
    <ds:schemaRef ds:uri="http://schemas.openxmlformats.org/officeDocument/2006/bibliography"/>
  </ds:schemaRefs>
</ds:datastoreItem>
</file>

<file path=customXml/itemProps2.xml><?xml version="1.0" encoding="utf-8"?>
<ds:datastoreItem xmlns:ds="http://schemas.openxmlformats.org/officeDocument/2006/customXml" ds:itemID="{1E2603C2-905D-4290-8683-016A3B0D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11A06-D66A-4646-8350-CD0370CBF11C}">
  <ds:schemaRefs>
    <ds:schemaRef ds:uri="http://schemas.microsoft.com/sharepoint/v3/contenttype/forms"/>
  </ds:schemaRefs>
</ds:datastoreItem>
</file>

<file path=customXml/itemProps4.xml><?xml version="1.0" encoding="utf-8"?>
<ds:datastoreItem xmlns:ds="http://schemas.openxmlformats.org/officeDocument/2006/customXml" ds:itemID="{B2126052-2B24-4AD8-A633-65E2EFC33FA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15184</Words>
  <Characters>8656</Characters>
  <Application>Microsoft Office Word</Application>
  <DocSecurity>0</DocSecurity>
  <Lines>72</Lines>
  <Paragraphs>47</Paragraphs>
  <ScaleCrop>false</ScaleCrop>
  <Company/>
  <LinksUpToDate>false</LinksUpToDate>
  <CharactersWithSpaces>23793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2026-07-03T06:00:00Z</dcterms:created>
  <dc:creator>Deividas Žindžius</dc:creator>
  <lastModifiedBy>JŪRĖNIENĖ Jolanta</lastModifiedBy>
  <dcterms:modified xsi:type="dcterms:W3CDTF">2026-07-03T06:30:00Z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