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BF" w:rsidRPr="0080216C" w:rsidRDefault="00162CBF" w:rsidP="00162CBF">
      <w:pPr>
        <w:ind w:left="5102" w:firstLine="0"/>
        <w:rPr>
          <w:rFonts w:ascii="Times New Roman" w:hAnsi="Times New Roman" w:cs="Times New Roman"/>
          <w:bCs/>
          <w:sz w:val="24"/>
        </w:rPr>
      </w:pPr>
      <w:r w:rsidRPr="0080216C">
        <w:rPr>
          <w:rFonts w:ascii="Times New Roman" w:hAnsi="Times New Roman" w:cs="Times New Roman"/>
          <w:bCs/>
          <w:sz w:val="24"/>
        </w:rPr>
        <w:t>Valstybinės geležinkelio inspekcijos prie</w:t>
      </w:r>
    </w:p>
    <w:p w:rsidR="00162CBF" w:rsidRPr="0080216C" w:rsidRDefault="00162CBF" w:rsidP="00162CBF">
      <w:pPr>
        <w:ind w:left="5102" w:firstLine="0"/>
        <w:rPr>
          <w:rFonts w:ascii="Times New Roman" w:hAnsi="Times New Roman" w:cs="Times New Roman"/>
          <w:bCs/>
          <w:sz w:val="24"/>
        </w:rPr>
      </w:pPr>
      <w:r w:rsidRPr="0080216C">
        <w:rPr>
          <w:rFonts w:ascii="Times New Roman" w:hAnsi="Times New Roman" w:cs="Times New Roman"/>
          <w:bCs/>
          <w:sz w:val="24"/>
        </w:rPr>
        <w:t xml:space="preserve">Susisiekimo ministerijos atliekamų </w:t>
      </w:r>
    </w:p>
    <w:p w:rsidR="00162CBF" w:rsidRPr="0080216C" w:rsidRDefault="00162CBF" w:rsidP="00162CBF">
      <w:pPr>
        <w:ind w:left="5102" w:firstLine="0"/>
        <w:rPr>
          <w:rFonts w:ascii="Times New Roman" w:hAnsi="Times New Roman" w:cs="Times New Roman"/>
          <w:bCs/>
          <w:sz w:val="24"/>
        </w:rPr>
      </w:pPr>
      <w:r w:rsidRPr="0080216C">
        <w:rPr>
          <w:rFonts w:ascii="Times New Roman" w:hAnsi="Times New Roman" w:cs="Times New Roman"/>
          <w:bCs/>
          <w:sz w:val="24"/>
        </w:rPr>
        <w:t>planinių ir neplaninių patikrinimų taisyklių</w:t>
      </w:r>
    </w:p>
    <w:p w:rsidR="00162CBF" w:rsidRPr="0080216C" w:rsidRDefault="00162CBF" w:rsidP="00162CBF">
      <w:pPr>
        <w:ind w:left="5102" w:firstLine="0"/>
        <w:rPr>
          <w:rFonts w:ascii="Times New Roman" w:hAnsi="Times New Roman" w:cs="Times New Roman"/>
          <w:bCs/>
          <w:sz w:val="24"/>
        </w:rPr>
      </w:pPr>
      <w:r w:rsidRPr="0080216C">
        <w:rPr>
          <w:rFonts w:ascii="Times New Roman" w:hAnsi="Times New Roman" w:cs="Times New Roman"/>
          <w:bCs/>
          <w:sz w:val="24"/>
        </w:rPr>
        <w:t>4 priedas</w:t>
      </w:r>
    </w:p>
    <w:p w:rsidR="00162CBF" w:rsidRPr="0080216C" w:rsidRDefault="00162CBF" w:rsidP="00162CBF">
      <w:pPr>
        <w:jc w:val="center"/>
        <w:rPr>
          <w:rFonts w:ascii="Times New Roman" w:hAnsi="Times New Roman" w:cs="Times New Roman"/>
          <w:sz w:val="22"/>
          <w:szCs w:val="22"/>
        </w:rPr>
      </w:pPr>
    </w:p>
    <w:p w:rsidR="00162CBF" w:rsidRPr="0080216C" w:rsidRDefault="00162CBF" w:rsidP="00162CBF">
      <w:pPr>
        <w:jc w:val="center"/>
        <w:rPr>
          <w:rFonts w:ascii="Times New Roman" w:hAnsi="Times New Roman" w:cs="Times New Roman"/>
          <w:sz w:val="22"/>
          <w:szCs w:val="22"/>
        </w:rPr>
      </w:pPr>
    </w:p>
    <w:p w:rsidR="00162CBF" w:rsidRPr="0080216C" w:rsidRDefault="00162CBF" w:rsidP="00162CBF">
      <w:pPr>
        <w:jc w:val="center"/>
        <w:rPr>
          <w:rFonts w:ascii="Times New Roman" w:hAnsi="Times New Roman" w:cs="Times New Roman"/>
          <w:b/>
          <w:sz w:val="22"/>
          <w:szCs w:val="22"/>
        </w:rPr>
      </w:pPr>
      <w:r w:rsidRPr="0080216C">
        <w:rPr>
          <w:rFonts w:ascii="Times New Roman" w:hAnsi="Times New Roman" w:cs="Times New Roman"/>
          <w:b/>
          <w:sz w:val="22"/>
          <w:szCs w:val="22"/>
        </w:rPr>
        <w:t>PREKINIŲ VAGONŲ TECHNINIO PRIŽIŪRĖTOJO SERTIFIKUOJAMOS VEIKLOS SĄLYGŲ LAIKYMOSI KONTROLINIS KLAUSIMYNAS</w:t>
      </w:r>
    </w:p>
    <w:p w:rsidR="00162CBF" w:rsidRPr="0080216C" w:rsidRDefault="00162CBF" w:rsidP="00162CBF">
      <w:pPr>
        <w:rPr>
          <w:rFonts w:ascii="Times New Roman" w:hAnsi="Times New Roman" w:cs="Times New Roman"/>
          <w:sz w:val="22"/>
          <w:szCs w:val="22"/>
        </w:rPr>
      </w:pPr>
    </w:p>
    <w:tbl>
      <w:tblPr>
        <w:tblW w:w="992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4"/>
        <w:gridCol w:w="5961"/>
        <w:gridCol w:w="71"/>
        <w:gridCol w:w="993"/>
        <w:gridCol w:w="70"/>
        <w:gridCol w:w="992"/>
        <w:gridCol w:w="72"/>
        <w:gridCol w:w="921"/>
      </w:tblGrid>
      <w:tr w:rsidR="00162CBF" w:rsidRPr="0080216C" w:rsidTr="00DF7A52">
        <w:trPr>
          <w:trHeight w:val="305"/>
          <w:jc w:val="center"/>
        </w:trPr>
        <w:tc>
          <w:tcPr>
            <w:tcW w:w="9924" w:type="dxa"/>
            <w:gridSpan w:val="8"/>
            <w:tcBorders>
              <w:top w:val="single" w:sz="12" w:space="0" w:color="auto"/>
              <w:left w:val="single" w:sz="12" w:space="0" w:color="auto"/>
              <w:right w:val="single" w:sz="12" w:space="0" w:color="auto"/>
            </w:tcBorders>
            <w:shd w:val="clear" w:color="auto" w:fill="8DB3E2"/>
            <w:vAlign w:val="center"/>
          </w:tcPr>
          <w:p w:rsidR="00162CBF" w:rsidRPr="0080216C" w:rsidRDefault="00162CBF" w:rsidP="00DF7A52">
            <w:pPr>
              <w:pStyle w:val="Pagrindinistekstas"/>
              <w:spacing w:before="0" w:beforeAutospacing="0" w:after="0" w:afterAutospacing="0"/>
              <w:ind w:hanging="6"/>
              <w:jc w:val="center"/>
              <w:rPr>
                <w:b/>
                <w:sz w:val="22"/>
                <w:szCs w:val="22"/>
                <w:lang w:val="lt-LT" w:eastAsia="lt-LT"/>
              </w:rPr>
            </w:pPr>
            <w:r w:rsidRPr="0080216C">
              <w:rPr>
                <w:b/>
                <w:sz w:val="22"/>
                <w:szCs w:val="22"/>
                <w:lang w:val="lt-LT" w:eastAsia="lt-LT"/>
              </w:rPr>
              <w:t>KONTROLINIS KLAUSIMYNAS</w:t>
            </w:r>
          </w:p>
        </w:tc>
      </w:tr>
      <w:tr w:rsidR="00162CBF" w:rsidRPr="0080216C" w:rsidTr="00DF7A52">
        <w:trPr>
          <w:trHeight w:val="305"/>
          <w:jc w:val="center"/>
        </w:trPr>
        <w:tc>
          <w:tcPr>
            <w:tcW w:w="9924" w:type="dxa"/>
            <w:gridSpan w:val="8"/>
            <w:tcBorders>
              <w:top w:val="single" w:sz="12" w:space="0" w:color="auto"/>
              <w:left w:val="single" w:sz="12" w:space="0" w:color="auto"/>
              <w:right w:val="single" w:sz="12" w:space="0" w:color="auto"/>
            </w:tcBorders>
            <w:shd w:val="clear" w:color="auto" w:fill="8DB3E2"/>
            <w:vAlign w:val="center"/>
          </w:tcPr>
          <w:p w:rsidR="00162CBF" w:rsidRPr="0080216C" w:rsidRDefault="00162CBF" w:rsidP="00DF7A52">
            <w:pPr>
              <w:pStyle w:val="Pagrindinistekstas"/>
              <w:spacing w:before="0" w:beforeAutospacing="0" w:after="0" w:afterAutospacing="0"/>
              <w:ind w:hanging="6"/>
              <w:jc w:val="center"/>
              <w:rPr>
                <w:b/>
                <w:sz w:val="22"/>
                <w:szCs w:val="22"/>
                <w:lang w:val="lt-LT" w:eastAsia="lt-LT"/>
              </w:rPr>
            </w:pPr>
            <w:r w:rsidRPr="0080216C">
              <w:rPr>
                <w:b/>
                <w:sz w:val="22"/>
                <w:szCs w:val="22"/>
                <w:lang w:val="lt-LT" w:eastAsia="lt-LT"/>
              </w:rPr>
              <w:t>1. Techninės priežiūros sistema</w:t>
            </w:r>
          </w:p>
        </w:tc>
      </w:tr>
      <w:tr w:rsidR="00162CBF" w:rsidRPr="0080216C" w:rsidTr="00DF7A52">
        <w:trPr>
          <w:trHeight w:val="385"/>
          <w:jc w:val="center"/>
        </w:trPr>
        <w:tc>
          <w:tcPr>
            <w:tcW w:w="6805" w:type="dxa"/>
            <w:gridSpan w:val="2"/>
            <w:tcBorders>
              <w:left w:val="single" w:sz="12"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Klausimas</w:t>
            </w:r>
          </w:p>
        </w:tc>
        <w:tc>
          <w:tcPr>
            <w:tcW w:w="1134" w:type="dxa"/>
            <w:gridSpan w:val="3"/>
            <w:shd w:val="clear" w:color="auto" w:fill="FFFFFF"/>
            <w:vAlign w:val="center"/>
          </w:tcPr>
          <w:p w:rsidR="00162CBF" w:rsidRPr="0080216C" w:rsidRDefault="00162CBF"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992" w:type="dxa"/>
            <w:shd w:val="clear" w:color="auto" w:fill="FFFFFF"/>
            <w:vAlign w:val="center"/>
          </w:tcPr>
          <w:p w:rsidR="00162CBF" w:rsidRPr="0080216C" w:rsidRDefault="00162CBF"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93" w:type="dxa"/>
            <w:gridSpan w:val="2"/>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62CBF" w:rsidRPr="0080216C" w:rsidTr="00DF7A52">
        <w:trPr>
          <w:trHeight w:val="990"/>
          <w:jc w:val="center"/>
        </w:trPr>
        <w:tc>
          <w:tcPr>
            <w:tcW w:w="6805" w:type="dxa"/>
            <w:gridSpan w:val="2"/>
            <w:tcBorders>
              <w:left w:val="single" w:sz="12" w:space="0" w:color="auto"/>
            </w:tcBorders>
            <w:vAlign w:val="center"/>
          </w:tcPr>
          <w:p w:rsidR="00162CBF" w:rsidRPr="0080216C" w:rsidRDefault="00162CBF" w:rsidP="00DF7A52">
            <w:pPr>
              <w:ind w:firstLine="0"/>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prekinių vagonų techninis prižiūrėtojas (toliau – techninis prižiūrėtojas) yra nustatęs prekinių vagonų techninės priežiūros sistemą?</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(ar yra dokumentas, įrodantis, kad yra nustatyta techninės priežiūros sistema)</w:t>
            </w:r>
          </w:p>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[1]</w:t>
            </w:r>
            <w:r w:rsidRPr="0080216C">
              <w:rPr>
                <w:rFonts w:ascii="Times New Roman" w:hAnsi="Times New Roman" w:cs="Times New Roman"/>
                <w:sz w:val="22"/>
                <w:szCs w:val="22"/>
              </w:rPr>
              <w:t xml:space="preserve">, 12 str. 9 d.; </w:t>
            </w:r>
            <w:r w:rsidRPr="0080216C">
              <w:rPr>
                <w:rFonts w:ascii="Times New Roman" w:hAnsi="Times New Roman" w:cs="Times New Roman"/>
                <w:b/>
                <w:sz w:val="22"/>
                <w:szCs w:val="22"/>
              </w:rPr>
              <w:t>[2]</w:t>
            </w:r>
            <w:r w:rsidRPr="0080216C">
              <w:rPr>
                <w:rFonts w:ascii="Times New Roman" w:hAnsi="Times New Roman" w:cs="Times New Roman"/>
                <w:sz w:val="22"/>
                <w:szCs w:val="22"/>
              </w:rPr>
              <w:t>, 22.1 p.)</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3" w:type="dxa"/>
            <w:gridSpan w:val="2"/>
            <w:tcBorders>
              <w:right w:val="single" w:sz="12" w:space="0" w:color="auto"/>
            </w:tcBorders>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58"/>
          <w:jc w:val="center"/>
        </w:trPr>
        <w:tc>
          <w:tcPr>
            <w:tcW w:w="9924" w:type="dxa"/>
            <w:gridSpan w:val="8"/>
            <w:tcBorders>
              <w:left w:val="single" w:sz="12" w:space="0" w:color="auto"/>
              <w:bottom w:val="single" w:sz="12"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rsidR="00162CBF" w:rsidRPr="0080216C" w:rsidRDefault="00162CBF" w:rsidP="00DF7A52">
            <w:pPr>
              <w:pStyle w:val="Pagrindinistekstas"/>
              <w:numPr>
                <w:ilvl w:val="0"/>
                <w:numId w:val="1"/>
              </w:numPr>
              <w:tabs>
                <w:tab w:val="left" w:pos="317"/>
              </w:tabs>
              <w:spacing w:before="0" w:beforeAutospacing="0" w:after="0" w:afterAutospacing="0"/>
              <w:jc w:val="center"/>
              <w:rPr>
                <w:color w:val="000000"/>
                <w:sz w:val="22"/>
                <w:szCs w:val="22"/>
                <w:lang w:val="lt-LT"/>
              </w:rPr>
            </w:pPr>
            <w:r w:rsidRPr="0080216C">
              <w:rPr>
                <w:b/>
                <w:sz w:val="22"/>
                <w:szCs w:val="22"/>
                <w:lang w:val="lt-LT" w:eastAsia="lt-LT"/>
              </w:rPr>
              <w:t xml:space="preserve">Techninės priežiūros sistemoje nustatytos techninės priežiūros organizacinės priemonės </w:t>
            </w:r>
            <w:r w:rsidRPr="0080216C">
              <w:rPr>
                <w:color w:val="000000"/>
                <w:sz w:val="22"/>
                <w:szCs w:val="22"/>
                <w:lang w:val="lt-LT"/>
              </w:rPr>
              <w:t>(</w:t>
            </w:r>
            <w:r w:rsidRPr="0080216C">
              <w:rPr>
                <w:b/>
                <w:sz w:val="22"/>
                <w:szCs w:val="22"/>
                <w:lang w:val="lt-LT"/>
              </w:rPr>
              <w:t>[2]</w:t>
            </w:r>
            <w:r w:rsidRPr="0080216C">
              <w:rPr>
                <w:sz w:val="22"/>
                <w:szCs w:val="22"/>
                <w:lang w:val="lt-LT"/>
              </w:rPr>
              <w:t xml:space="preserve"> </w:t>
            </w:r>
            <w:r w:rsidRPr="0080216C">
              <w:rPr>
                <w:color w:val="000000"/>
                <w:sz w:val="22"/>
                <w:szCs w:val="22"/>
                <w:lang w:val="lt-LT"/>
              </w:rPr>
              <w:t xml:space="preserve">10.1 p., </w:t>
            </w:r>
            <w:r w:rsidRPr="0080216C">
              <w:rPr>
                <w:sz w:val="22"/>
                <w:szCs w:val="22"/>
                <w:lang w:val="lt-LT"/>
              </w:rPr>
              <w:t>22.2 p.</w:t>
            </w:r>
            <w:r w:rsidRPr="0080216C">
              <w:rPr>
                <w:color w:val="000000"/>
                <w:sz w:val="22"/>
                <w:szCs w:val="22"/>
                <w:lang w:val="lt-LT"/>
              </w:rPr>
              <w:t>)</w:t>
            </w:r>
          </w:p>
          <w:p w:rsidR="00162CBF" w:rsidRPr="0080216C" w:rsidRDefault="00162CBF" w:rsidP="00DF7A52">
            <w:pPr>
              <w:pStyle w:val="Pagrindinistekstas"/>
              <w:spacing w:before="0" w:beforeAutospacing="0" w:after="0" w:afterAutospacing="0"/>
              <w:ind w:left="420"/>
              <w:jc w:val="center"/>
              <w:rPr>
                <w:b/>
                <w:sz w:val="22"/>
                <w:szCs w:val="22"/>
                <w:lang w:val="lt-LT" w:eastAsia="lt-LT"/>
              </w:rPr>
            </w:pPr>
            <w:r w:rsidRPr="0080216C">
              <w:rPr>
                <w:color w:val="000000"/>
                <w:sz w:val="18"/>
                <w:szCs w:val="18"/>
                <w:lang w:val="lt-LT"/>
              </w:rPr>
              <w:t>(tikrinama atsižvelgiant į prekinių vagonų techninės priežiūros sistemos turinį)</w:t>
            </w:r>
          </w:p>
        </w:tc>
      </w:tr>
      <w:tr w:rsidR="00162CBF" w:rsidRPr="0080216C" w:rsidTr="00DF7A52">
        <w:trPr>
          <w:trHeight w:val="385"/>
          <w:jc w:val="center"/>
        </w:trPr>
        <w:tc>
          <w:tcPr>
            <w:tcW w:w="844" w:type="dxa"/>
            <w:tcBorders>
              <w:left w:val="single" w:sz="12" w:space="0" w:color="auto"/>
              <w:righ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 Nr.</w:t>
            </w:r>
          </w:p>
        </w:tc>
        <w:tc>
          <w:tcPr>
            <w:tcW w:w="5961" w:type="dxa"/>
            <w:tcBorders>
              <w:lef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064" w:type="dxa"/>
            <w:gridSpan w:val="2"/>
            <w:shd w:val="clear" w:color="auto" w:fill="FFFFFF"/>
            <w:vAlign w:val="center"/>
          </w:tcPr>
          <w:p w:rsidR="00162CBF" w:rsidRPr="0080216C" w:rsidRDefault="00162CBF"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4" w:type="dxa"/>
            <w:gridSpan w:val="3"/>
            <w:shd w:val="clear" w:color="auto" w:fill="FFFFFF"/>
            <w:vAlign w:val="center"/>
          </w:tcPr>
          <w:p w:rsidR="00162CBF" w:rsidRPr="0080216C" w:rsidRDefault="00162CBF"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62CBF" w:rsidRPr="0080216C" w:rsidTr="00DF7A52">
        <w:trPr>
          <w:trHeight w:val="689"/>
          <w:jc w:val="center"/>
        </w:trPr>
        <w:tc>
          <w:tcPr>
            <w:tcW w:w="844" w:type="dxa"/>
            <w:vMerge w:val="restart"/>
            <w:tcBorders>
              <w:left w:val="single" w:sz="12" w:space="0" w:color="auto"/>
            </w:tcBorders>
            <w:shd w:val="clear" w:color="auto" w:fill="FFFFFF"/>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22.1.</w:t>
            </w:r>
          </w:p>
        </w:tc>
        <w:tc>
          <w:tcPr>
            <w:tcW w:w="5961" w:type="dxa"/>
            <w:shd w:val="clear" w:color="auto" w:fill="FFFFFF"/>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laikosi techninės priežiūros sistemoje nustatytos techninės priežiūros organizavimo struktūros?</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 skyrius, 1 p.)</w:t>
            </w:r>
          </w:p>
        </w:tc>
        <w:tc>
          <w:tcPr>
            <w:tcW w:w="1064" w:type="dxa"/>
            <w:gridSpan w:val="2"/>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274"/>
          <w:jc w:val="center"/>
        </w:trPr>
        <w:tc>
          <w:tcPr>
            <w:tcW w:w="844" w:type="dxa"/>
            <w:vMerge w:val="restart"/>
            <w:tcBorders>
              <w:left w:val="single" w:sz="12" w:space="0" w:color="auto"/>
            </w:tcBorders>
            <w:shd w:val="clear" w:color="auto" w:fill="FFFFFF"/>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22.2.</w:t>
            </w:r>
          </w:p>
        </w:tc>
        <w:tc>
          <w:tcPr>
            <w:tcW w:w="6032" w:type="dxa"/>
            <w:gridSpan w:val="2"/>
            <w:shd w:val="clear" w:color="auto" w:fill="FFFFFF"/>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 xml:space="preserve">techninis prižiūrėtojas laikosi prekinių vagonų techninės priežiūros sistemoje nustatytos su technine priežiūra susijusios veiklos organizavimo, koordinavimo ir kontroliavimo tvarkos? </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 skyrius, 2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274"/>
          <w:jc w:val="center"/>
        </w:trPr>
        <w:tc>
          <w:tcPr>
            <w:tcW w:w="844" w:type="dxa"/>
            <w:vMerge w:val="restart"/>
            <w:tcBorders>
              <w:left w:val="single" w:sz="12" w:space="0" w:color="auto"/>
            </w:tcBorders>
            <w:shd w:val="clear" w:color="auto" w:fill="FFFFFF"/>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22.3.</w:t>
            </w:r>
          </w:p>
        </w:tc>
        <w:tc>
          <w:tcPr>
            <w:tcW w:w="6032" w:type="dxa"/>
            <w:gridSpan w:val="2"/>
            <w:shd w:val="clear" w:color="auto" w:fill="FFFFFF"/>
            <w:vAlign w:val="center"/>
          </w:tcPr>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prekinių vagonų techninis prižiūrėtojas laikosi prekinių vagonų techninės priežiūros sistemoje nustatytos tvarkos, skirtos nuolat stebėti su technine priežiūra susijusių užduočių vykdymo procesą ir imtis priemonių, jei užduotys atliekamos netinkamai?</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 skyrius, 3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274"/>
          <w:jc w:val="center"/>
        </w:trPr>
        <w:tc>
          <w:tcPr>
            <w:tcW w:w="844" w:type="dxa"/>
            <w:vMerge w:val="restart"/>
            <w:tcBorders>
              <w:left w:val="single" w:sz="12" w:space="0" w:color="auto"/>
            </w:tcBorders>
            <w:shd w:val="clear" w:color="auto" w:fill="FFFFFF"/>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22.4.</w:t>
            </w:r>
          </w:p>
        </w:tc>
        <w:tc>
          <w:tcPr>
            <w:tcW w:w="6032" w:type="dxa"/>
            <w:gridSpan w:val="2"/>
            <w:shd w:val="clear" w:color="auto" w:fill="FFFFFF"/>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prekinių vagonų techninis prižiūrėtojas laikosi prekinių vagonų techninės priežiūros sistemoje nustatytos darbuotojų, atsakingų už techninę priežiūrą, kompetencijos valdymo sistemos?</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(tikrinama, kaip nustatomos darbuotojų, atsakingų už techninę priežiūrą, žinios ir įgūdžiai, kaip atrenkami darbuotojai; ar užtikrinamas tęstinis darbuotojų mokymas ir periodiškas turimų žinių bei įgūdžių atnaujinimas, ar vykdomi periodiniai žinių patikrinimai)</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lastRenderedPageBreak/>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 skyrius, 4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lastRenderedPageBreak/>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rsidR="00162CBF" w:rsidRPr="0080216C" w:rsidRDefault="00162CBF" w:rsidP="00DF7A52">
            <w:pPr>
              <w:pStyle w:val="Pagrindinistekstas"/>
              <w:numPr>
                <w:ilvl w:val="0"/>
                <w:numId w:val="1"/>
              </w:numPr>
              <w:tabs>
                <w:tab w:val="left" w:pos="317"/>
              </w:tabs>
              <w:spacing w:before="0" w:beforeAutospacing="0" w:after="0" w:afterAutospacing="0"/>
              <w:jc w:val="center"/>
              <w:rPr>
                <w:color w:val="000000"/>
                <w:sz w:val="22"/>
                <w:szCs w:val="22"/>
                <w:lang w:val="lt-LT"/>
              </w:rPr>
            </w:pPr>
            <w:r w:rsidRPr="0080216C">
              <w:rPr>
                <w:b/>
                <w:sz w:val="22"/>
                <w:szCs w:val="22"/>
                <w:lang w:val="lt-LT" w:eastAsia="lt-LT"/>
              </w:rPr>
              <w:t xml:space="preserve">Techninės priežiūros sistemoje nustatytos techninės priežiūros užtikrinimo priemonės </w:t>
            </w:r>
            <w:r w:rsidRPr="0080216C">
              <w:rPr>
                <w:color w:val="000000"/>
                <w:sz w:val="22"/>
                <w:szCs w:val="22"/>
                <w:lang w:val="lt-LT"/>
              </w:rPr>
              <w:t>(</w:t>
            </w:r>
            <w:r w:rsidRPr="0080216C">
              <w:rPr>
                <w:b/>
                <w:sz w:val="22"/>
                <w:szCs w:val="22"/>
                <w:lang w:val="lt-LT"/>
              </w:rPr>
              <w:t>[2]</w:t>
            </w:r>
            <w:r w:rsidRPr="0080216C">
              <w:rPr>
                <w:sz w:val="22"/>
                <w:szCs w:val="22"/>
                <w:lang w:val="lt-LT"/>
              </w:rPr>
              <w:t xml:space="preserve"> </w:t>
            </w:r>
            <w:r w:rsidRPr="0080216C">
              <w:rPr>
                <w:color w:val="000000"/>
                <w:sz w:val="22"/>
                <w:szCs w:val="22"/>
                <w:lang w:val="lt-LT"/>
              </w:rPr>
              <w:t xml:space="preserve">10.2 p., </w:t>
            </w:r>
            <w:r w:rsidRPr="0080216C">
              <w:rPr>
                <w:sz w:val="22"/>
                <w:szCs w:val="22"/>
                <w:lang w:val="lt-LT"/>
              </w:rPr>
              <w:t>22.2 p.</w:t>
            </w:r>
            <w:r w:rsidRPr="0080216C">
              <w:rPr>
                <w:color w:val="000000"/>
                <w:sz w:val="22"/>
                <w:szCs w:val="22"/>
                <w:lang w:val="lt-LT"/>
              </w:rPr>
              <w:t>)</w:t>
            </w:r>
          </w:p>
          <w:p w:rsidR="00162CBF" w:rsidRPr="0080216C" w:rsidRDefault="00162CBF" w:rsidP="00DF7A52">
            <w:pPr>
              <w:pStyle w:val="Pagrindinistekstas"/>
              <w:spacing w:before="0" w:beforeAutospacing="0" w:after="0" w:afterAutospacing="0"/>
              <w:ind w:left="420"/>
              <w:jc w:val="center"/>
              <w:rPr>
                <w:b/>
                <w:sz w:val="22"/>
                <w:szCs w:val="22"/>
                <w:lang w:val="lt-LT" w:eastAsia="lt-LT"/>
              </w:rPr>
            </w:pPr>
            <w:r w:rsidRPr="0080216C">
              <w:rPr>
                <w:color w:val="000000"/>
                <w:sz w:val="18"/>
                <w:szCs w:val="18"/>
                <w:lang w:val="lt-LT"/>
              </w:rPr>
              <w:t>(tikrinama atsižvelgiant į prekinių vagonų techninės priežiūros sistemos turinį)</w:t>
            </w:r>
          </w:p>
        </w:tc>
      </w:tr>
      <w:tr w:rsidR="00162CBF" w:rsidRPr="0080216C" w:rsidTr="00DF7A52">
        <w:trPr>
          <w:trHeight w:val="385"/>
          <w:jc w:val="center"/>
        </w:trPr>
        <w:tc>
          <w:tcPr>
            <w:tcW w:w="844" w:type="dxa"/>
            <w:tcBorders>
              <w:left w:val="single" w:sz="12" w:space="0" w:color="auto"/>
              <w:righ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 Nr.</w:t>
            </w:r>
          </w:p>
        </w:tc>
        <w:tc>
          <w:tcPr>
            <w:tcW w:w="6032" w:type="dxa"/>
            <w:gridSpan w:val="2"/>
            <w:tcBorders>
              <w:lef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993" w:type="dxa"/>
            <w:shd w:val="clear" w:color="auto" w:fill="FFFFFF"/>
            <w:vAlign w:val="center"/>
          </w:tcPr>
          <w:p w:rsidR="00162CBF" w:rsidRPr="0080216C" w:rsidRDefault="00162CBF"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4" w:type="dxa"/>
            <w:gridSpan w:val="3"/>
            <w:shd w:val="clear" w:color="auto" w:fill="FFFFFF"/>
            <w:vAlign w:val="center"/>
          </w:tcPr>
          <w:p w:rsidR="00162CBF" w:rsidRPr="0080216C" w:rsidRDefault="00162CBF"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62CBF" w:rsidRPr="0080216C" w:rsidTr="00DF7A52">
        <w:trPr>
          <w:trHeight w:val="527"/>
          <w:jc w:val="center"/>
        </w:trPr>
        <w:tc>
          <w:tcPr>
            <w:tcW w:w="844" w:type="dxa"/>
            <w:vMerge w:val="restart"/>
            <w:tcBorders>
              <w:top w:val="single" w:sz="4" w:space="0" w:color="auto"/>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33.1.</w:t>
            </w:r>
          </w:p>
        </w:tc>
        <w:tc>
          <w:tcPr>
            <w:tcW w:w="6032" w:type="dxa"/>
            <w:gridSpan w:val="2"/>
            <w:tcBorders>
              <w:top w:val="single" w:sz="4" w:space="0" w:color="auto"/>
            </w:tcBorders>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prekinių vagonų techninis prižiūrėtojas laikosi prekinių vagonų techninės priežiūros sistemoje nustatytos tvarkos, kurioje nurodytos prekinių vagonų techninės priežiūros ir remonto rūšys?</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II skyrius, 5 p.)</w:t>
            </w:r>
          </w:p>
        </w:tc>
        <w:tc>
          <w:tcPr>
            <w:tcW w:w="993" w:type="dxa"/>
            <w:tcBorders>
              <w:top w:val="single" w:sz="4"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tcBorders>
              <w:top w:val="single" w:sz="4"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top w:val="single" w:sz="4" w:space="0" w:color="auto"/>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694"/>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33.2.</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prekinių vagonų techninis prižiūrėtojas laikosi prekinių vagonų techninės priežiūros sistemoje nustatytų prekinių vagonų remontų atlikimo periodiškumų?</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II skyrius, 6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bottom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33.3.</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prekinių vagonų techninis prižiūrėtojas laikosi prekinių vagonų techninės priežiūros sistemoje nustatytos tvarkos, skirtos užtikrinti, kad tinkamu laiku būtų vykdomas prekinių vagonų eksploatavimo nutraukimas techninei priežiūrai atlikti ir jų grąžinimas eksploatuoti po techninės priežiūros darbų?</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II skyrius, 7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top w:val="single" w:sz="12" w:space="0" w:color="auto"/>
              <w:left w:val="single" w:sz="12" w:space="0" w:color="auto"/>
              <w:bottom w:val="single" w:sz="12"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12"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162CBF" w:rsidRPr="0080216C" w:rsidRDefault="00162CBF" w:rsidP="00DF7A52">
            <w:pPr>
              <w:ind w:firstLine="0"/>
              <w:rPr>
                <w:rFonts w:ascii="Times New Roman" w:hAnsi="Times New Roman" w:cs="Times New Roman"/>
                <w:b/>
                <w:sz w:val="18"/>
                <w:szCs w:val="18"/>
              </w:rPr>
            </w:pPr>
          </w:p>
        </w:tc>
      </w:tr>
      <w:tr w:rsidR="00162CBF" w:rsidRPr="0080216C" w:rsidTr="00DF7A52">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rsidR="00162CBF" w:rsidRPr="0080216C" w:rsidRDefault="00162CBF" w:rsidP="00DF7A52">
            <w:pPr>
              <w:pStyle w:val="Pagrindinistekstas"/>
              <w:numPr>
                <w:ilvl w:val="0"/>
                <w:numId w:val="1"/>
              </w:numPr>
              <w:tabs>
                <w:tab w:val="left" w:pos="317"/>
              </w:tabs>
              <w:spacing w:before="0" w:beforeAutospacing="0" w:after="0" w:afterAutospacing="0"/>
              <w:jc w:val="center"/>
              <w:rPr>
                <w:color w:val="000000"/>
                <w:sz w:val="22"/>
                <w:szCs w:val="22"/>
                <w:lang w:val="lt-LT"/>
              </w:rPr>
            </w:pPr>
            <w:r w:rsidRPr="0080216C">
              <w:rPr>
                <w:b/>
                <w:sz w:val="22"/>
                <w:szCs w:val="22"/>
                <w:lang w:val="lt-LT" w:eastAsia="lt-LT"/>
              </w:rPr>
              <w:t xml:space="preserve">Techninės priežiūros sistemoje nustatytos techninės priežiūros kontrolės priemonės </w:t>
            </w:r>
            <w:r w:rsidRPr="0080216C">
              <w:rPr>
                <w:color w:val="000000"/>
                <w:sz w:val="22"/>
                <w:szCs w:val="22"/>
                <w:lang w:val="lt-LT"/>
              </w:rPr>
              <w:t>(</w:t>
            </w:r>
            <w:r w:rsidRPr="0080216C">
              <w:rPr>
                <w:b/>
                <w:sz w:val="22"/>
                <w:szCs w:val="22"/>
                <w:lang w:val="lt-LT"/>
              </w:rPr>
              <w:t>[2]</w:t>
            </w:r>
            <w:r w:rsidRPr="0080216C">
              <w:rPr>
                <w:sz w:val="22"/>
                <w:szCs w:val="22"/>
                <w:lang w:val="lt-LT"/>
              </w:rPr>
              <w:t xml:space="preserve"> </w:t>
            </w:r>
            <w:r w:rsidRPr="0080216C">
              <w:rPr>
                <w:color w:val="000000"/>
                <w:sz w:val="22"/>
                <w:szCs w:val="22"/>
                <w:lang w:val="lt-LT"/>
              </w:rPr>
              <w:t xml:space="preserve">10.3 p., </w:t>
            </w:r>
            <w:r w:rsidRPr="0080216C">
              <w:rPr>
                <w:sz w:val="22"/>
                <w:szCs w:val="22"/>
                <w:lang w:val="lt-LT"/>
              </w:rPr>
              <w:t>22.2 p.</w:t>
            </w:r>
            <w:r w:rsidRPr="0080216C">
              <w:rPr>
                <w:color w:val="000000"/>
                <w:sz w:val="22"/>
                <w:szCs w:val="22"/>
                <w:lang w:val="lt-LT"/>
              </w:rPr>
              <w:t>)</w:t>
            </w:r>
          </w:p>
          <w:p w:rsidR="00162CBF" w:rsidRPr="0080216C" w:rsidRDefault="00162CBF" w:rsidP="00DF7A52">
            <w:pPr>
              <w:pStyle w:val="Pagrindinistekstas"/>
              <w:spacing w:before="0" w:beforeAutospacing="0" w:after="0" w:afterAutospacing="0"/>
              <w:ind w:left="420"/>
              <w:jc w:val="center"/>
              <w:rPr>
                <w:b/>
                <w:sz w:val="22"/>
                <w:szCs w:val="22"/>
                <w:lang w:val="lt-LT" w:eastAsia="lt-LT"/>
              </w:rPr>
            </w:pPr>
            <w:r w:rsidRPr="0080216C">
              <w:rPr>
                <w:color w:val="000000"/>
                <w:sz w:val="18"/>
                <w:szCs w:val="18"/>
                <w:lang w:val="lt-LT"/>
              </w:rPr>
              <w:t>(tikrinama atsižvelgiant į prekinių vagonų techninės priežiūros sistemos turinį)</w:t>
            </w:r>
          </w:p>
        </w:tc>
      </w:tr>
      <w:tr w:rsidR="00162CBF" w:rsidRPr="0080216C" w:rsidTr="00DF7A52">
        <w:trPr>
          <w:trHeight w:val="385"/>
          <w:jc w:val="center"/>
        </w:trPr>
        <w:tc>
          <w:tcPr>
            <w:tcW w:w="844" w:type="dxa"/>
            <w:tcBorders>
              <w:left w:val="single" w:sz="12" w:space="0" w:color="auto"/>
              <w:righ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 Nr.</w:t>
            </w:r>
          </w:p>
        </w:tc>
        <w:tc>
          <w:tcPr>
            <w:tcW w:w="6032" w:type="dxa"/>
            <w:gridSpan w:val="2"/>
            <w:tcBorders>
              <w:lef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993" w:type="dxa"/>
            <w:shd w:val="clear" w:color="auto" w:fill="FFFFFF"/>
            <w:vAlign w:val="center"/>
          </w:tcPr>
          <w:p w:rsidR="00162CBF" w:rsidRPr="0080216C" w:rsidRDefault="00162CBF"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4" w:type="dxa"/>
            <w:gridSpan w:val="3"/>
            <w:shd w:val="clear" w:color="auto" w:fill="FFFFFF"/>
            <w:vAlign w:val="center"/>
          </w:tcPr>
          <w:p w:rsidR="00162CBF" w:rsidRPr="0080216C" w:rsidRDefault="00162CBF"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62CBF" w:rsidRPr="0080216C" w:rsidTr="00DF7A52">
        <w:trPr>
          <w:trHeight w:val="527"/>
          <w:jc w:val="center"/>
        </w:trPr>
        <w:tc>
          <w:tcPr>
            <w:tcW w:w="844" w:type="dxa"/>
            <w:vMerge w:val="restart"/>
            <w:tcBorders>
              <w:top w:val="single" w:sz="4" w:space="0" w:color="auto"/>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44.1.</w:t>
            </w:r>
          </w:p>
        </w:tc>
        <w:tc>
          <w:tcPr>
            <w:tcW w:w="6032" w:type="dxa"/>
            <w:gridSpan w:val="2"/>
            <w:tcBorders>
              <w:top w:val="single" w:sz="4" w:space="0" w:color="auto"/>
            </w:tcBorders>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yra sukūręs ir įdiegęs informacinę sistemą, kuri užtikrina prekinių vagonų ridos apskaitą, duomenų apie prekinių vagonų dislokaciją apskaitą, prekinių vagonų remontų atlikimo periodiškumo, modernizacijų apskaitą, taip pat kad nebus naudojami prekiniai vagonai, kuriems neatlikta techninė priežiūra?</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III skyrius, 9 p.)</w:t>
            </w:r>
          </w:p>
        </w:tc>
        <w:tc>
          <w:tcPr>
            <w:tcW w:w="993" w:type="dxa"/>
            <w:tcBorders>
              <w:top w:val="single" w:sz="4"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tcBorders>
              <w:top w:val="single" w:sz="4"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top w:val="single" w:sz="4" w:space="0" w:color="auto"/>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44.2.</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yra nustatęs tvarką, kurioje nurodytas informacinės sistemos darbo organizavimas ir užtikrinamas duomenų saugumas?</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III skyrius, 10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lastRenderedPageBreak/>
              <w:t>44.3.</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techninio prižiūrėtojo informacinė sistema gali keistis duomenimis, nurodytais </w:t>
            </w:r>
            <w:r w:rsidRPr="0080216C">
              <w:rPr>
                <w:rFonts w:ascii="Times New Roman" w:hAnsi="Times New Roman" w:cs="Times New Roman"/>
                <w:color w:val="000000"/>
                <w:sz w:val="22"/>
                <w:szCs w:val="22"/>
              </w:rPr>
              <w:t>šio klausimyno 4.1 punkte,</w:t>
            </w:r>
            <w:r w:rsidRPr="0080216C">
              <w:rPr>
                <w:rFonts w:ascii="Times New Roman" w:hAnsi="Times New Roman" w:cs="Times New Roman"/>
                <w:sz w:val="22"/>
                <w:szCs w:val="22"/>
              </w:rPr>
              <w:t xml:space="preserve"> su kitų geležinkelio įmonių (vežėjų) informacinėmis sistemomis ir užtikrinti saugų prekinių vagonų eksploatavimą</w:t>
            </w:r>
            <w:r w:rsidRPr="0080216C">
              <w:rPr>
                <w:rFonts w:ascii="Times New Roman" w:hAnsi="Times New Roman" w:cs="Times New Roman"/>
                <w:color w:val="000000"/>
                <w:sz w:val="22"/>
                <w:szCs w:val="22"/>
              </w:rPr>
              <w:t>?</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 skyrius, 11 p.)</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(tikrinama, jeigu techninio prižiūrėtojo vagonus naudoja kitos geležinkelio įmonės (vežėjai)</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12"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44.4.</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techninio prižiūrėtojo informacinė sistema gali keistis duomenimis, nurodytais </w:t>
            </w:r>
            <w:r w:rsidRPr="0080216C">
              <w:rPr>
                <w:rFonts w:ascii="Times New Roman" w:hAnsi="Times New Roman" w:cs="Times New Roman"/>
                <w:color w:val="000000"/>
                <w:sz w:val="22"/>
                <w:szCs w:val="22"/>
              </w:rPr>
              <w:t xml:space="preserve">šio klausimyno 4.1 punkte, </w:t>
            </w:r>
            <w:r w:rsidRPr="0080216C">
              <w:rPr>
                <w:rFonts w:ascii="Times New Roman" w:hAnsi="Times New Roman" w:cs="Times New Roman"/>
                <w:sz w:val="22"/>
                <w:szCs w:val="22"/>
              </w:rPr>
              <w:t>su kitų trečiųjų valstybių geležinkelio įmonėmis, organizacijomis ir (ar) kitais asmenimis</w:t>
            </w:r>
            <w:r w:rsidRPr="0080216C">
              <w:rPr>
                <w:rFonts w:ascii="Times New Roman" w:hAnsi="Times New Roman" w:cs="Times New Roman"/>
                <w:color w:val="000000"/>
                <w:sz w:val="22"/>
                <w:szCs w:val="22"/>
              </w:rPr>
              <w:t>?</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III skyrius, 12 p.)</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(tikrinama, jeigu techninio prižiūrėtojo prekiniai vagonai naudojami arba juos ketinama naudoti trečiosiose valstybėse)</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12"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rsidR="00162CBF" w:rsidRPr="0080216C" w:rsidRDefault="00162CBF" w:rsidP="00DF7A52">
            <w:pPr>
              <w:pStyle w:val="Pagrindinistekstas"/>
              <w:numPr>
                <w:ilvl w:val="0"/>
                <w:numId w:val="1"/>
              </w:numPr>
              <w:tabs>
                <w:tab w:val="left" w:pos="317"/>
              </w:tabs>
              <w:spacing w:before="0" w:beforeAutospacing="0" w:after="0" w:afterAutospacing="0"/>
              <w:jc w:val="center"/>
              <w:rPr>
                <w:color w:val="000000"/>
                <w:sz w:val="22"/>
                <w:szCs w:val="22"/>
                <w:lang w:val="lt-LT"/>
              </w:rPr>
            </w:pPr>
            <w:r w:rsidRPr="0080216C">
              <w:rPr>
                <w:b/>
                <w:sz w:val="22"/>
                <w:szCs w:val="22"/>
                <w:lang w:val="lt-LT" w:eastAsia="lt-LT"/>
              </w:rPr>
              <w:t xml:space="preserve">Techninės priežiūros sistemoje nustatytos techninės priežiūros atlikimo priemonės </w:t>
            </w:r>
            <w:r w:rsidRPr="0080216C">
              <w:rPr>
                <w:color w:val="000000"/>
                <w:sz w:val="22"/>
                <w:szCs w:val="22"/>
                <w:lang w:val="lt-LT"/>
              </w:rPr>
              <w:t>(</w:t>
            </w:r>
            <w:r w:rsidRPr="0080216C">
              <w:rPr>
                <w:b/>
                <w:sz w:val="22"/>
                <w:szCs w:val="22"/>
                <w:lang w:val="lt-LT"/>
              </w:rPr>
              <w:t>[2]</w:t>
            </w:r>
            <w:r w:rsidRPr="0080216C">
              <w:rPr>
                <w:sz w:val="22"/>
                <w:szCs w:val="22"/>
                <w:lang w:val="lt-LT"/>
              </w:rPr>
              <w:t xml:space="preserve"> </w:t>
            </w:r>
            <w:r w:rsidRPr="0080216C">
              <w:rPr>
                <w:color w:val="000000"/>
                <w:sz w:val="22"/>
                <w:szCs w:val="22"/>
                <w:lang w:val="lt-LT"/>
              </w:rPr>
              <w:t xml:space="preserve">10.3 p., </w:t>
            </w:r>
            <w:r w:rsidRPr="0080216C">
              <w:rPr>
                <w:sz w:val="22"/>
                <w:szCs w:val="22"/>
                <w:lang w:val="lt-LT"/>
              </w:rPr>
              <w:t>22.2 p.</w:t>
            </w:r>
            <w:r w:rsidRPr="0080216C">
              <w:rPr>
                <w:color w:val="000000"/>
                <w:sz w:val="22"/>
                <w:szCs w:val="22"/>
                <w:lang w:val="lt-LT"/>
              </w:rPr>
              <w:t>)</w:t>
            </w:r>
          </w:p>
          <w:p w:rsidR="00162CBF" w:rsidRPr="0080216C" w:rsidRDefault="00162CBF" w:rsidP="00DF7A52">
            <w:pPr>
              <w:pStyle w:val="Pagrindinistekstas"/>
              <w:spacing w:before="0" w:beforeAutospacing="0" w:after="0" w:afterAutospacing="0"/>
              <w:ind w:left="420"/>
              <w:jc w:val="center"/>
              <w:rPr>
                <w:b/>
                <w:sz w:val="22"/>
                <w:szCs w:val="22"/>
                <w:lang w:val="lt-LT" w:eastAsia="lt-LT"/>
              </w:rPr>
            </w:pPr>
            <w:r w:rsidRPr="0080216C">
              <w:rPr>
                <w:color w:val="000000"/>
                <w:sz w:val="18"/>
                <w:szCs w:val="18"/>
                <w:lang w:val="lt-LT"/>
              </w:rPr>
              <w:t>(tikrinama atsižvelgiant į prekinių vagonų techninės priežiūros sistemos turinį)</w:t>
            </w:r>
          </w:p>
        </w:tc>
      </w:tr>
      <w:tr w:rsidR="00162CBF" w:rsidRPr="0080216C" w:rsidTr="00DF7A52">
        <w:trPr>
          <w:trHeight w:val="385"/>
          <w:jc w:val="center"/>
        </w:trPr>
        <w:tc>
          <w:tcPr>
            <w:tcW w:w="844" w:type="dxa"/>
            <w:tcBorders>
              <w:left w:val="single" w:sz="12" w:space="0" w:color="auto"/>
              <w:righ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 Nr.</w:t>
            </w:r>
          </w:p>
        </w:tc>
        <w:tc>
          <w:tcPr>
            <w:tcW w:w="6032" w:type="dxa"/>
            <w:gridSpan w:val="2"/>
            <w:tcBorders>
              <w:left w:val="single" w:sz="4"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993" w:type="dxa"/>
            <w:shd w:val="clear" w:color="auto" w:fill="FFFFFF"/>
            <w:vAlign w:val="center"/>
          </w:tcPr>
          <w:p w:rsidR="00162CBF" w:rsidRPr="0080216C" w:rsidRDefault="00162CBF"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4" w:type="dxa"/>
            <w:gridSpan w:val="3"/>
            <w:shd w:val="clear" w:color="auto" w:fill="FFFFFF"/>
            <w:vAlign w:val="center"/>
          </w:tcPr>
          <w:p w:rsidR="00162CBF" w:rsidRPr="0080216C" w:rsidRDefault="00162CBF"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62CBF" w:rsidRPr="0080216C" w:rsidTr="00DF7A52">
        <w:trPr>
          <w:trHeight w:val="527"/>
          <w:jc w:val="center"/>
        </w:trPr>
        <w:tc>
          <w:tcPr>
            <w:tcW w:w="844" w:type="dxa"/>
            <w:vMerge w:val="restart"/>
            <w:tcBorders>
              <w:top w:val="single" w:sz="4" w:space="0" w:color="auto"/>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55.1.</w:t>
            </w:r>
          </w:p>
        </w:tc>
        <w:tc>
          <w:tcPr>
            <w:tcW w:w="6032" w:type="dxa"/>
            <w:gridSpan w:val="2"/>
            <w:tcBorders>
              <w:top w:val="single" w:sz="4" w:space="0" w:color="auto"/>
            </w:tcBorders>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laikosi prekinių vagonų techninės priežiūros sistemoje nustatytos tvarkos, skirtos užtikrinti, kad prekinių vagonų techninė priežiūra būtų atliekama techninio prižiūrėtojo pripažintuose subjektuose?</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(techninio prižiūrėtojo pripažinti subjektai turi turėti personalą, įrangą, įrengimus ir patalpas, medžiagas, reikalingas techninio prižiūrėtojo prekinių vagonų techninei priežiūrai atlikti)</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 xml:space="preserve"> (</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IV skyrius, 13 p.)</w:t>
            </w:r>
          </w:p>
        </w:tc>
        <w:tc>
          <w:tcPr>
            <w:tcW w:w="993" w:type="dxa"/>
            <w:tcBorders>
              <w:top w:val="single" w:sz="4"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tcBorders>
              <w:top w:val="single" w:sz="4"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top w:val="single" w:sz="4" w:space="0" w:color="auto"/>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274"/>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55.2.</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laikosi prekinių vagonų techninės priežiūros sistemoje nustatytos tvarkos, pagal kurią techninis prižiūrėtojas pripažįsta subjektus, kurie gali atlikti jo prekinių vagonų techninę priežiūrą?</w:t>
            </w:r>
          </w:p>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color w:val="000000"/>
                <w:sz w:val="22"/>
                <w:szCs w:val="22"/>
              </w:rPr>
              <w:t xml:space="preserve"> (</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IV skyrius, 14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55.3.</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laikosi prekinių vagonų techninės priežiūros sistemoje nustatytos tvarkos, pagal kurią techninio prižiūrėtojo pripažinti subjektai gali įvesti su technine priežiūra susijusius duomenis į techninio prižiūrėtojo informacinę sistemą?</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22"/>
                <w:szCs w:val="22"/>
              </w:rPr>
              <w:t xml:space="preserve"> (</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IV skyrius, 15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12"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527"/>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55.4.</w:t>
            </w:r>
          </w:p>
        </w:tc>
        <w:tc>
          <w:tcPr>
            <w:tcW w:w="6032" w:type="dxa"/>
            <w:gridSpan w:val="2"/>
            <w:vAlign w:val="center"/>
          </w:tcPr>
          <w:p w:rsidR="00162CBF" w:rsidRPr="0080216C" w:rsidRDefault="00162CBF" w:rsidP="00DF7A52">
            <w:pPr>
              <w:jc w:val="center"/>
              <w:rPr>
                <w:rFonts w:ascii="Times New Roman" w:hAnsi="Times New Roman" w:cs="Times New Roman"/>
                <w:color w:val="000000"/>
                <w:sz w:val="22"/>
                <w:szCs w:val="22"/>
              </w:rPr>
            </w:pPr>
            <w:r w:rsidRPr="0080216C">
              <w:rPr>
                <w:rFonts w:ascii="Times New Roman" w:hAnsi="Times New Roman" w:cs="Times New Roman"/>
                <w:sz w:val="22"/>
                <w:szCs w:val="22"/>
              </w:rPr>
              <w:t xml:space="preserve">Ar </w:t>
            </w:r>
            <w:r w:rsidRPr="0080216C">
              <w:rPr>
                <w:rFonts w:ascii="Times New Roman" w:hAnsi="Times New Roman" w:cs="Times New Roman"/>
                <w:color w:val="000000"/>
                <w:sz w:val="22"/>
                <w:szCs w:val="22"/>
              </w:rPr>
              <w:t>techninis prižiūrėtojas laikosi prekinių vagonų techninės priežiūros sistemoje nustatytos tvarkos, pagal kurią užtikrinama, kad pripažinti subjektai atliktų prekinių vagonų techninę priežiūrą, vadovaujantis techninio prižiūrėtojo nustatyta techninės priežiūros sistema ir technologija?</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 xml:space="preserve">(tikrinama, jeigu techninio prižiūrėtojo pripažinti subjektai yra kiti </w:t>
            </w:r>
            <w:r w:rsidRPr="0080216C">
              <w:rPr>
                <w:rFonts w:ascii="Times New Roman" w:hAnsi="Times New Roman" w:cs="Times New Roman"/>
                <w:color w:val="000000"/>
                <w:sz w:val="18"/>
                <w:szCs w:val="18"/>
              </w:rPr>
              <w:lastRenderedPageBreak/>
              <w:t>asmenys)</w:t>
            </w:r>
          </w:p>
          <w:p w:rsidR="00162CBF" w:rsidRPr="0080216C" w:rsidRDefault="00162CBF"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22"/>
                <w:szCs w:val="22"/>
              </w:rPr>
              <w:t xml:space="preserve"> (</w:t>
            </w:r>
            <w:r w:rsidRPr="0080216C">
              <w:rPr>
                <w:rFonts w:ascii="Times New Roman" w:hAnsi="Times New Roman" w:cs="Times New Roman"/>
                <w:b/>
                <w:color w:val="000000"/>
                <w:sz w:val="22"/>
                <w:szCs w:val="22"/>
              </w:rPr>
              <w:t>[3]</w:t>
            </w:r>
            <w:r w:rsidRPr="0080216C">
              <w:rPr>
                <w:rFonts w:ascii="Times New Roman" w:hAnsi="Times New Roman" w:cs="Times New Roman"/>
                <w:color w:val="000000"/>
                <w:sz w:val="22"/>
                <w:szCs w:val="22"/>
              </w:rPr>
              <w:t>, 2 priedas, IV skyrius, 16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lastRenderedPageBreak/>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18"/>
                <w:szCs w:val="18"/>
              </w:rPr>
            </w:pPr>
          </w:p>
        </w:tc>
        <w:tc>
          <w:tcPr>
            <w:tcW w:w="9080" w:type="dxa"/>
            <w:gridSpan w:val="7"/>
            <w:tcBorders>
              <w:bottom w:val="single" w:sz="12" w:space="0" w:color="auto"/>
              <w:right w:val="single" w:sz="12" w:space="0" w:color="auto"/>
            </w:tcBorders>
            <w:shd w:val="clear" w:color="auto" w:fill="FFFFFF"/>
          </w:tcPr>
          <w:p w:rsidR="00162CBF" w:rsidRPr="0080216C" w:rsidRDefault="00162CBF"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162CBF" w:rsidRPr="0080216C" w:rsidTr="00DF7A52">
        <w:trPr>
          <w:trHeight w:val="363"/>
          <w:jc w:val="center"/>
        </w:trPr>
        <w:tc>
          <w:tcPr>
            <w:tcW w:w="9924" w:type="dxa"/>
            <w:gridSpan w:val="8"/>
            <w:tcBorders>
              <w:top w:val="single" w:sz="12" w:space="0" w:color="auto"/>
              <w:left w:val="single" w:sz="12" w:space="0" w:color="auto"/>
              <w:right w:val="single" w:sz="12" w:space="0" w:color="auto"/>
            </w:tcBorders>
            <w:shd w:val="clear" w:color="auto" w:fill="8DB3E2"/>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6. Kitos sąlygos</w:t>
            </w:r>
          </w:p>
        </w:tc>
      </w:tr>
      <w:tr w:rsidR="00162CBF" w:rsidRPr="0080216C" w:rsidTr="00DF7A52">
        <w:trPr>
          <w:trHeight w:val="385"/>
          <w:jc w:val="center"/>
        </w:trPr>
        <w:tc>
          <w:tcPr>
            <w:tcW w:w="844" w:type="dxa"/>
            <w:tcBorders>
              <w:left w:val="single" w:sz="12" w:space="0" w:color="auto"/>
            </w:tcBorders>
            <w:shd w:val="clear" w:color="auto" w:fill="FFFFFF"/>
            <w:vAlign w:val="center"/>
          </w:tcPr>
          <w:p w:rsidR="00162CBF" w:rsidRPr="0080216C" w:rsidRDefault="00162CBF"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162CBF" w:rsidRPr="0080216C" w:rsidRDefault="00162CBF"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6032" w:type="dxa"/>
            <w:gridSpan w:val="2"/>
            <w:shd w:val="clear" w:color="auto" w:fill="FFFFFF"/>
            <w:vAlign w:val="center"/>
          </w:tcPr>
          <w:p w:rsidR="00162CBF" w:rsidRPr="0080216C" w:rsidRDefault="00162CBF"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993" w:type="dxa"/>
            <w:shd w:val="clear" w:color="auto" w:fill="FFFFFF"/>
            <w:vAlign w:val="center"/>
          </w:tcPr>
          <w:p w:rsidR="00162CBF" w:rsidRPr="0080216C" w:rsidRDefault="00162CBF"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1134" w:type="dxa"/>
            <w:gridSpan w:val="3"/>
            <w:shd w:val="clear" w:color="auto" w:fill="FFFFFF"/>
            <w:vAlign w:val="center"/>
          </w:tcPr>
          <w:p w:rsidR="00162CBF" w:rsidRPr="0080216C" w:rsidRDefault="00162CBF"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21" w:type="dxa"/>
            <w:tcBorders>
              <w:right w:val="single" w:sz="12" w:space="0" w:color="auto"/>
            </w:tcBorders>
            <w:shd w:val="clear" w:color="auto" w:fill="FFFFFF"/>
            <w:vAlign w:val="center"/>
          </w:tcPr>
          <w:p w:rsidR="00162CBF" w:rsidRPr="0080216C" w:rsidRDefault="00162CBF" w:rsidP="00DF7A52">
            <w:pPr>
              <w:ind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162CBF" w:rsidRPr="0080216C" w:rsidTr="00DF7A52">
        <w:trPr>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66.1.</w:t>
            </w:r>
          </w:p>
        </w:tc>
        <w:tc>
          <w:tcPr>
            <w:tcW w:w="6032" w:type="dxa"/>
            <w:gridSpan w:val="2"/>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 xml:space="preserve">Ar techninis prižiūrėtojas laikosi reikalavimo, draudžiančio įgalioti  kitus asmenis arba leisti kitiems asmenims vykdyti techninio prižiūrėtojo sertifikate nurodytą veiklą? </w:t>
            </w:r>
          </w:p>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[2]</w:t>
            </w:r>
            <w:r w:rsidRPr="0080216C">
              <w:rPr>
                <w:rFonts w:ascii="Times New Roman" w:hAnsi="Times New Roman" w:cs="Times New Roman"/>
                <w:sz w:val="22"/>
                <w:szCs w:val="22"/>
              </w:rPr>
              <w:t>, 22.4 p.)</w:t>
            </w:r>
          </w:p>
          <w:p w:rsidR="00162CBF" w:rsidRPr="0080216C" w:rsidRDefault="00162CBF" w:rsidP="00DF7A52">
            <w:pPr>
              <w:jc w:val="center"/>
              <w:rPr>
                <w:rFonts w:ascii="Times New Roman" w:hAnsi="Times New Roman" w:cs="Times New Roman"/>
                <w:sz w:val="18"/>
                <w:szCs w:val="18"/>
              </w:rPr>
            </w:pPr>
            <w:r w:rsidRPr="0080216C">
              <w:rPr>
                <w:rFonts w:ascii="Times New Roman" w:hAnsi="Times New Roman" w:cs="Times New Roman"/>
                <w:sz w:val="18"/>
                <w:szCs w:val="18"/>
              </w:rPr>
              <w:t>(turi būti pateikta deklaracija, kad prekinių vagonų techninis prižiūrėtojas nėra įgaliojęs kitų asmenų arba leidęs kitiems asmenims vykdyti techninio prižiūrėtojo sertifikate nurodytą veiklą)</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tabs>
                <w:tab w:val="left" w:pos="277"/>
              </w:tabs>
              <w:ind w:firstLine="0"/>
              <w:jc w:val="center"/>
              <w:rPr>
                <w:rFonts w:ascii="Times New Roman" w:hAnsi="Times New Roman" w:cs="Times New Roman"/>
                <w:sz w:val="32"/>
                <w:szCs w:val="32"/>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4" w:space="0" w:color="auto"/>
            </w:tcBorders>
            <w:shd w:val="clear" w:color="auto" w:fill="FFFFFF"/>
          </w:tcPr>
          <w:p w:rsidR="00162CBF" w:rsidRPr="0080216C" w:rsidRDefault="00162CBF" w:rsidP="00DF7A52">
            <w:pPr>
              <w:rPr>
                <w:rFonts w:ascii="Times New Roman" w:hAnsi="Times New Roman" w:cs="Times New Roman"/>
                <w:b/>
                <w:sz w:val="22"/>
                <w:szCs w:val="22"/>
              </w:rPr>
            </w:pPr>
          </w:p>
        </w:tc>
        <w:tc>
          <w:tcPr>
            <w:tcW w:w="9080" w:type="dxa"/>
            <w:gridSpan w:val="7"/>
            <w:tcBorders>
              <w:bottom w:val="single" w:sz="4" w:space="0" w:color="auto"/>
              <w:right w:val="single" w:sz="12" w:space="0" w:color="auto"/>
            </w:tcBorders>
            <w:shd w:val="clear" w:color="auto" w:fill="FFFFFF"/>
          </w:tcPr>
          <w:p w:rsidR="00162CBF" w:rsidRPr="0080216C" w:rsidRDefault="00162CBF" w:rsidP="00DF7A52">
            <w:pPr>
              <w:rPr>
                <w:rFonts w:ascii="Times New Roman" w:hAnsi="Times New Roman" w:cs="Times New Roman"/>
                <w:b/>
                <w:sz w:val="22"/>
                <w:szCs w:val="22"/>
              </w:rPr>
            </w:pPr>
            <w:r w:rsidRPr="0080216C">
              <w:rPr>
                <w:rFonts w:ascii="Times New Roman" w:hAnsi="Times New Roman" w:cs="Times New Roman"/>
                <w:b/>
                <w:sz w:val="18"/>
                <w:szCs w:val="18"/>
              </w:rPr>
              <w:t>Papildoma informacija/pastabos:</w:t>
            </w:r>
          </w:p>
        </w:tc>
      </w:tr>
      <w:tr w:rsidR="00162CBF" w:rsidRPr="0080216C" w:rsidTr="00DF7A52">
        <w:trPr>
          <w:jc w:val="center"/>
        </w:trPr>
        <w:tc>
          <w:tcPr>
            <w:tcW w:w="844" w:type="dxa"/>
            <w:vMerge w:val="restart"/>
            <w:tcBorders>
              <w:left w:val="single" w:sz="12" w:space="0" w:color="auto"/>
            </w:tcBorders>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66.2.</w:t>
            </w:r>
          </w:p>
        </w:tc>
        <w:tc>
          <w:tcPr>
            <w:tcW w:w="6032" w:type="dxa"/>
            <w:gridSpan w:val="2"/>
            <w:vAlign w:val="center"/>
          </w:tcPr>
          <w:p w:rsidR="00162CBF" w:rsidRPr="0080216C" w:rsidRDefault="00162CBF" w:rsidP="00DF7A52">
            <w:pPr>
              <w:jc w:val="center"/>
              <w:rPr>
                <w:rFonts w:ascii="Times New Roman" w:hAnsi="Times New Roman" w:cs="Times New Roman"/>
                <w:sz w:val="22"/>
                <w:szCs w:val="22"/>
              </w:rPr>
            </w:pPr>
            <w:r w:rsidRPr="0080216C">
              <w:rPr>
                <w:rFonts w:ascii="Times New Roman" w:hAnsi="Times New Roman" w:cs="Times New Roman"/>
                <w:sz w:val="22"/>
                <w:szCs w:val="22"/>
              </w:rPr>
              <w:t>Ar techninis prižiūrėtojas Inspekcijos pareigūnams, atliekantiems sertifikuojamos veiklos sąlygų laikymosi priežiūrą, pateikė visus patikrinimui reikalingus duomenis ir dokumentus?</w:t>
            </w:r>
          </w:p>
          <w:p w:rsidR="00162CBF" w:rsidRPr="0080216C" w:rsidRDefault="00162CBF" w:rsidP="00DF7A52">
            <w:pPr>
              <w:jc w:val="center"/>
              <w:rPr>
                <w:rFonts w:ascii="Times New Roman" w:hAnsi="Times New Roman" w:cs="Times New Roman"/>
                <w:sz w:val="18"/>
                <w:szCs w:val="18"/>
              </w:rPr>
            </w:pPr>
            <w:r w:rsidRPr="0080216C">
              <w:rPr>
                <w:rFonts w:ascii="Times New Roman" w:hAnsi="Times New Roman" w:cs="Times New Roman"/>
                <w:sz w:val="22"/>
                <w:szCs w:val="22"/>
              </w:rPr>
              <w:t>(</w:t>
            </w:r>
            <w:r w:rsidRPr="0080216C">
              <w:rPr>
                <w:rFonts w:ascii="Times New Roman" w:hAnsi="Times New Roman" w:cs="Times New Roman"/>
                <w:b/>
                <w:sz w:val="22"/>
                <w:szCs w:val="22"/>
              </w:rPr>
              <w:t>[2]</w:t>
            </w:r>
            <w:r w:rsidRPr="0080216C">
              <w:rPr>
                <w:rFonts w:ascii="Times New Roman" w:hAnsi="Times New Roman" w:cs="Times New Roman"/>
                <w:sz w:val="22"/>
                <w:szCs w:val="22"/>
              </w:rPr>
              <w:t>, 22.3 p.)</w:t>
            </w:r>
          </w:p>
        </w:tc>
        <w:tc>
          <w:tcPr>
            <w:tcW w:w="993" w:type="dxa"/>
            <w:shd w:val="clear" w:color="auto" w:fill="FFFFFF"/>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134" w:type="dxa"/>
            <w:gridSpan w:val="3"/>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21" w:type="dxa"/>
            <w:tcBorders>
              <w:right w:val="single" w:sz="12" w:space="0" w:color="auto"/>
            </w:tcBorders>
            <w:vAlign w:val="center"/>
          </w:tcPr>
          <w:p w:rsidR="00162CBF" w:rsidRPr="0080216C" w:rsidRDefault="00162CBF"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162CBF" w:rsidRPr="0080216C" w:rsidTr="00DF7A52">
        <w:trPr>
          <w:trHeight w:val="527"/>
          <w:jc w:val="center"/>
        </w:trPr>
        <w:tc>
          <w:tcPr>
            <w:tcW w:w="844" w:type="dxa"/>
            <w:vMerge/>
            <w:tcBorders>
              <w:left w:val="single" w:sz="12" w:space="0" w:color="auto"/>
              <w:bottom w:val="single" w:sz="12" w:space="0" w:color="auto"/>
            </w:tcBorders>
            <w:shd w:val="clear" w:color="auto" w:fill="FFFFFF"/>
          </w:tcPr>
          <w:p w:rsidR="00162CBF" w:rsidRPr="0080216C" w:rsidRDefault="00162CBF" w:rsidP="00DF7A52">
            <w:pPr>
              <w:rPr>
                <w:rFonts w:ascii="Times New Roman" w:hAnsi="Times New Roman" w:cs="Times New Roman"/>
                <w:b/>
                <w:sz w:val="22"/>
                <w:szCs w:val="22"/>
              </w:rPr>
            </w:pPr>
          </w:p>
        </w:tc>
        <w:tc>
          <w:tcPr>
            <w:tcW w:w="9080" w:type="dxa"/>
            <w:gridSpan w:val="7"/>
            <w:tcBorders>
              <w:bottom w:val="single" w:sz="12" w:space="0" w:color="auto"/>
              <w:right w:val="single" w:sz="12" w:space="0" w:color="auto"/>
            </w:tcBorders>
            <w:shd w:val="clear" w:color="auto" w:fill="FFFFFF"/>
          </w:tcPr>
          <w:p w:rsidR="00162CBF" w:rsidRPr="0080216C" w:rsidRDefault="00162CBF" w:rsidP="00DF7A52">
            <w:pPr>
              <w:rPr>
                <w:rFonts w:ascii="Times New Roman" w:hAnsi="Times New Roman" w:cs="Times New Roman"/>
                <w:b/>
                <w:sz w:val="22"/>
                <w:szCs w:val="22"/>
              </w:rPr>
            </w:pPr>
            <w:r w:rsidRPr="0080216C">
              <w:rPr>
                <w:rFonts w:ascii="Times New Roman" w:hAnsi="Times New Roman" w:cs="Times New Roman"/>
                <w:b/>
                <w:sz w:val="18"/>
                <w:szCs w:val="18"/>
              </w:rPr>
              <w:t>Papildoma informacija/pastabos:</w:t>
            </w:r>
          </w:p>
        </w:tc>
      </w:tr>
      <w:tr w:rsidR="00162CBF" w:rsidRPr="0080216C" w:rsidTr="00DF7A52">
        <w:trPr>
          <w:trHeight w:val="323"/>
          <w:jc w:val="center"/>
        </w:trPr>
        <w:tc>
          <w:tcPr>
            <w:tcW w:w="9924" w:type="dxa"/>
            <w:gridSpan w:val="8"/>
            <w:tcBorders>
              <w:left w:val="single" w:sz="12" w:space="0" w:color="auto"/>
              <w:bottom w:val="single" w:sz="12" w:space="0" w:color="auto"/>
              <w:right w:val="single" w:sz="12" w:space="0" w:color="auto"/>
            </w:tcBorders>
            <w:shd w:val="clear" w:color="auto" w:fill="8DB3E2"/>
            <w:vAlign w:val="center"/>
          </w:tcPr>
          <w:p w:rsidR="00162CBF" w:rsidRPr="0080216C" w:rsidRDefault="00162CBF" w:rsidP="00DF7A52">
            <w:pPr>
              <w:pStyle w:val="Default"/>
              <w:jc w:val="center"/>
              <w:rPr>
                <w:b/>
                <w:sz w:val="22"/>
                <w:szCs w:val="22"/>
              </w:rPr>
            </w:pPr>
            <w:r w:rsidRPr="0080216C">
              <w:rPr>
                <w:b/>
                <w:sz w:val="22"/>
                <w:szCs w:val="22"/>
              </w:rPr>
              <w:t>Pastaba</w:t>
            </w:r>
          </w:p>
        </w:tc>
      </w:tr>
      <w:tr w:rsidR="00162CBF" w:rsidRPr="0080216C" w:rsidTr="00DF7A52">
        <w:trPr>
          <w:trHeight w:val="323"/>
          <w:jc w:val="center"/>
        </w:trPr>
        <w:tc>
          <w:tcPr>
            <w:tcW w:w="9924" w:type="dxa"/>
            <w:gridSpan w:val="8"/>
            <w:tcBorders>
              <w:left w:val="single" w:sz="12" w:space="0" w:color="auto"/>
              <w:bottom w:val="single" w:sz="12" w:space="0" w:color="auto"/>
              <w:right w:val="single" w:sz="12" w:space="0" w:color="auto"/>
            </w:tcBorders>
            <w:vAlign w:val="center"/>
          </w:tcPr>
          <w:p w:rsidR="00162CBF" w:rsidRPr="0080216C" w:rsidRDefault="00162CBF" w:rsidP="00DF7A52">
            <w:pPr>
              <w:pStyle w:val="Default"/>
              <w:jc w:val="both"/>
              <w:rPr>
                <w:sz w:val="20"/>
                <w:szCs w:val="20"/>
              </w:rPr>
            </w:pPr>
            <w:r w:rsidRPr="0080216C">
              <w:rPr>
                <w:sz w:val="20"/>
                <w:szCs w:val="20"/>
              </w:rPr>
              <w:t xml:space="preserve">* N/N – netikrinta arba neaktualu. </w:t>
            </w:r>
          </w:p>
        </w:tc>
      </w:tr>
    </w:tbl>
    <w:p w:rsidR="00162CBF" w:rsidRPr="0080216C" w:rsidRDefault="00162CBF" w:rsidP="00162CBF">
      <w:pPr>
        <w:jc w:val="right"/>
        <w:rPr>
          <w:rFonts w:ascii="Times New Roman" w:hAnsi="Times New Roman" w:cs="Times New Roman"/>
          <w:b/>
        </w:rPr>
      </w:pPr>
    </w:p>
    <w:p w:rsidR="00162CBF" w:rsidRPr="0080216C" w:rsidRDefault="00162CBF" w:rsidP="00162CBF">
      <w:pPr>
        <w:ind w:right="480" w:firstLine="0"/>
        <w:rPr>
          <w:rFonts w:ascii="Times New Roman" w:hAnsi="Times New Roman" w:cs="Times New Roman"/>
          <w:b/>
        </w:rPr>
      </w:pPr>
      <w:r w:rsidRPr="0080216C">
        <w:rPr>
          <w:rFonts w:ascii="Times New Roman" w:hAnsi="Times New Roman" w:cs="Times New Roman"/>
          <w:b/>
        </w:rPr>
        <w:t>TEISĖS AKTŲ SĄRAŠAS</w:t>
      </w:r>
      <w:r w:rsidRPr="0080216C">
        <w:rPr>
          <w:rFonts w:ascii="Times New Roman" w:hAnsi="Times New Roman" w:cs="Times New Roman"/>
        </w:rPr>
        <w:t>:</w:t>
      </w:r>
    </w:p>
    <w:p w:rsidR="00162CBF" w:rsidRPr="0080216C" w:rsidRDefault="00162CBF" w:rsidP="00162CBF">
      <w:pPr>
        <w:tabs>
          <w:tab w:val="left" w:pos="851"/>
        </w:tabs>
        <w:jc w:val="both"/>
        <w:rPr>
          <w:rFonts w:ascii="Times New Roman" w:hAnsi="Times New Roman" w:cs="Times New Roman"/>
        </w:rPr>
      </w:pPr>
    </w:p>
    <w:p w:rsidR="00162CBF" w:rsidRPr="0080216C" w:rsidRDefault="00162CBF" w:rsidP="00162CBF">
      <w:pPr>
        <w:tabs>
          <w:tab w:val="left" w:pos="540"/>
          <w:tab w:val="left" w:pos="851"/>
        </w:tabs>
        <w:jc w:val="both"/>
        <w:rPr>
          <w:rFonts w:ascii="Times New Roman" w:hAnsi="Times New Roman" w:cs="Times New Roman"/>
        </w:rPr>
      </w:pPr>
      <w:r w:rsidRPr="0080216C">
        <w:rPr>
          <w:rFonts w:ascii="Times New Roman" w:hAnsi="Times New Roman" w:cs="Times New Roman"/>
          <w:b/>
        </w:rPr>
        <w:t>[1]</w:t>
      </w:r>
      <w:r w:rsidRPr="0080216C">
        <w:rPr>
          <w:rFonts w:ascii="Times New Roman" w:hAnsi="Times New Roman" w:cs="Times New Roman"/>
        </w:rPr>
        <w:t xml:space="preserve"> </w:t>
      </w:r>
      <w:r w:rsidRPr="0080216C">
        <w:rPr>
          <w:rFonts w:ascii="Times New Roman" w:hAnsi="Times New Roman" w:cs="Times New Roman"/>
          <w:b/>
        </w:rPr>
        <w:t>–</w:t>
      </w:r>
      <w:r w:rsidRPr="0080216C">
        <w:rPr>
          <w:rFonts w:ascii="Times New Roman" w:hAnsi="Times New Roman" w:cs="Times New Roman"/>
        </w:rPr>
        <w:t xml:space="preserve"> Lietuvos Respublikos geležinkelių transporto eismo saugos įstatymas (</w:t>
      </w:r>
      <w:proofErr w:type="spellStart"/>
      <w:r w:rsidRPr="0080216C">
        <w:rPr>
          <w:rFonts w:ascii="Times New Roman" w:hAnsi="Times New Roman" w:cs="Times New Roman"/>
        </w:rPr>
        <w:t>Žin</w:t>
      </w:r>
      <w:proofErr w:type="spellEnd"/>
      <w:r w:rsidRPr="0080216C">
        <w:rPr>
          <w:rFonts w:ascii="Times New Roman" w:hAnsi="Times New Roman" w:cs="Times New Roman"/>
        </w:rPr>
        <w:t xml:space="preserve">., </w:t>
      </w:r>
      <w:hyperlink r:id="rId5" w:tgtFrame="_blank" w:history="1">
        <w:r w:rsidRPr="0080216C">
          <w:rPr>
            <w:rFonts w:ascii="Times New Roman" w:hAnsi="Times New Roman" w:cs="Times New Roman"/>
          </w:rPr>
          <w:t>2004, Nr. 4-27</w:t>
        </w:r>
      </w:hyperlink>
      <w:r w:rsidRPr="0080216C">
        <w:rPr>
          <w:rFonts w:ascii="Times New Roman" w:hAnsi="Times New Roman" w:cs="Times New Roman"/>
        </w:rPr>
        <w:t xml:space="preserve">; </w:t>
      </w:r>
      <w:hyperlink r:id="rId6" w:tgtFrame="_blank" w:history="1">
        <w:r w:rsidRPr="0080216C">
          <w:rPr>
            <w:rFonts w:ascii="Times New Roman" w:hAnsi="Times New Roman" w:cs="Times New Roman"/>
          </w:rPr>
          <w:t>2006, Nr. 42-1505</w:t>
        </w:r>
      </w:hyperlink>
      <w:r w:rsidRPr="0080216C">
        <w:rPr>
          <w:rFonts w:ascii="Times New Roman" w:hAnsi="Times New Roman" w:cs="Times New Roman"/>
        </w:rPr>
        <w:t xml:space="preserve">; </w:t>
      </w:r>
      <w:hyperlink r:id="rId7" w:tgtFrame="_blank" w:history="1">
        <w:r w:rsidRPr="0080216C">
          <w:rPr>
            <w:rFonts w:ascii="Times New Roman" w:hAnsi="Times New Roman" w:cs="Times New Roman"/>
          </w:rPr>
          <w:t>2010, Nr. 12-557</w:t>
        </w:r>
      </w:hyperlink>
      <w:r w:rsidRPr="0080216C">
        <w:rPr>
          <w:rFonts w:ascii="Times New Roman" w:hAnsi="Times New Roman" w:cs="Times New Roman"/>
        </w:rPr>
        <w:t>);</w:t>
      </w:r>
    </w:p>
    <w:p w:rsidR="00162CBF" w:rsidRPr="0080216C" w:rsidRDefault="00162CBF" w:rsidP="00162CBF">
      <w:pPr>
        <w:tabs>
          <w:tab w:val="left" w:pos="540"/>
          <w:tab w:val="left" w:pos="851"/>
        </w:tabs>
        <w:jc w:val="both"/>
        <w:rPr>
          <w:rFonts w:ascii="Times New Roman" w:hAnsi="Times New Roman" w:cs="Times New Roman"/>
        </w:rPr>
      </w:pPr>
      <w:r w:rsidRPr="0080216C">
        <w:rPr>
          <w:rFonts w:ascii="Times New Roman" w:hAnsi="Times New Roman" w:cs="Times New Roman"/>
          <w:b/>
        </w:rPr>
        <w:t>[2]</w:t>
      </w:r>
      <w:r w:rsidRPr="0080216C">
        <w:rPr>
          <w:rFonts w:ascii="Times New Roman" w:hAnsi="Times New Roman" w:cs="Times New Roman"/>
        </w:rPr>
        <w:t xml:space="preserve"> – Techninių prižiūrėtojų sertifikavimo taisyklės, patvirtintos Lietuvos Respublikos susisiekimo ministro 2011 m. liepos 19 d. įsakymu Nr. 3-431 (</w:t>
      </w:r>
      <w:proofErr w:type="spellStart"/>
      <w:r w:rsidRPr="0080216C">
        <w:rPr>
          <w:rFonts w:ascii="Times New Roman" w:hAnsi="Times New Roman" w:cs="Times New Roman"/>
        </w:rPr>
        <w:t>Žin</w:t>
      </w:r>
      <w:proofErr w:type="spellEnd"/>
      <w:r w:rsidRPr="0080216C">
        <w:rPr>
          <w:rFonts w:ascii="Times New Roman" w:hAnsi="Times New Roman" w:cs="Times New Roman"/>
        </w:rPr>
        <w:t>., 2011, Nr. 96-4529);</w:t>
      </w:r>
    </w:p>
    <w:p w:rsidR="00162CBF" w:rsidRPr="0080216C" w:rsidRDefault="00162CBF" w:rsidP="00162CBF">
      <w:pPr>
        <w:tabs>
          <w:tab w:val="left" w:pos="540"/>
          <w:tab w:val="left" w:pos="851"/>
        </w:tabs>
        <w:jc w:val="both"/>
        <w:rPr>
          <w:rFonts w:ascii="Times New Roman" w:hAnsi="Times New Roman" w:cs="Times New Roman"/>
          <w:sz w:val="22"/>
          <w:szCs w:val="22"/>
        </w:rPr>
      </w:pPr>
      <w:r w:rsidRPr="0080216C">
        <w:rPr>
          <w:rFonts w:ascii="Times New Roman" w:hAnsi="Times New Roman" w:cs="Times New Roman"/>
          <w:b/>
        </w:rPr>
        <w:t>[3]</w:t>
      </w:r>
      <w:r w:rsidRPr="0080216C">
        <w:rPr>
          <w:rFonts w:ascii="Times New Roman" w:hAnsi="Times New Roman" w:cs="Times New Roman"/>
        </w:rPr>
        <w:t xml:space="preserve"> – Techninių prižiūrėtojų, pageidaujančių gauti techninio prižiūrėtojo, atsakingo už prekinių vagonų, kurie naudojami 1520 mm vėžės pločio geležinkelių tinkle, sertifikatą, prašymų vertinimo tvarkos aprašas, patvirtintas Valstybinės geležinkelio inspekcijos prie Susisiekimo ministerijos viršininko 2011 m. liepos 20 d. įsakymu Nr. V-441 (</w:t>
      </w:r>
      <w:proofErr w:type="spellStart"/>
      <w:r w:rsidRPr="0080216C">
        <w:rPr>
          <w:rFonts w:ascii="Times New Roman" w:hAnsi="Times New Roman" w:cs="Times New Roman"/>
        </w:rPr>
        <w:t>Žin</w:t>
      </w:r>
      <w:proofErr w:type="spellEnd"/>
      <w:r w:rsidRPr="0080216C">
        <w:rPr>
          <w:rFonts w:ascii="Times New Roman" w:hAnsi="Times New Roman" w:cs="Times New Roman"/>
        </w:rPr>
        <w:t xml:space="preserve">., </w:t>
      </w:r>
      <w:hyperlink r:id="rId8" w:tgtFrame="_blank" w:history="1">
        <w:r w:rsidRPr="0080216C">
          <w:rPr>
            <w:rFonts w:ascii="Times New Roman" w:hAnsi="Times New Roman" w:cs="Times New Roman"/>
          </w:rPr>
          <w:t>2011, Nr. 96-4540</w:t>
        </w:r>
      </w:hyperlink>
      <w:r w:rsidRPr="0080216C">
        <w:rPr>
          <w:rFonts w:ascii="Times New Roman" w:hAnsi="Times New Roman" w:cs="Times New Roman"/>
        </w:rPr>
        <w:t>).</w:t>
      </w:r>
    </w:p>
    <w:p w:rsidR="00677B3E" w:rsidRDefault="00677B3E"/>
    <w:sectPr w:rsidR="00677B3E" w:rsidSect="00677B3E">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225D6"/>
    <w:multiLevelType w:val="multilevel"/>
    <w:tmpl w:val="891EDD66"/>
    <w:lvl w:ilvl="0">
      <w:start w:val="1"/>
      <w:numFmt w:val="decimal"/>
      <w:lvlText w:val="%1."/>
      <w:lvlJc w:val="left"/>
      <w:pPr>
        <w:tabs>
          <w:tab w:val="num" w:pos="420"/>
        </w:tabs>
        <w:ind w:left="420" w:hanging="420"/>
      </w:pPr>
      <w:rPr>
        <w:rFonts w:hint="default"/>
        <w:u w:val="none"/>
      </w:rPr>
    </w:lvl>
    <w:lvl w:ilvl="1">
      <w:start w:val="1"/>
      <w:numFmt w:val="decimal"/>
      <w:lvlText w:val="%2."/>
      <w:lvlJc w:val="left"/>
      <w:pPr>
        <w:tabs>
          <w:tab w:val="num" w:pos="420"/>
        </w:tabs>
        <w:ind w:left="420" w:hanging="420"/>
      </w:pPr>
      <w:rPr>
        <w:rFonts w:ascii="Times New Roman" w:eastAsia="Times New Roman" w:hAnsi="Times New Roman" w:cs="Times New Roman"/>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62CBF"/>
    <w:rsid w:val="00162CBF"/>
    <w:rsid w:val="00677B3E"/>
    <w:rsid w:val="008631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2CB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62CBF"/>
    <w:pPr>
      <w:autoSpaceDE w:val="0"/>
      <w:autoSpaceDN w:val="0"/>
      <w:adjustRightInd w:val="0"/>
      <w:spacing w:after="0" w:line="240" w:lineRule="auto"/>
    </w:pPr>
    <w:rPr>
      <w:rFonts w:eastAsia="Times New Roman" w:cs="Times New Roman"/>
      <w:color w:val="000000"/>
      <w:szCs w:val="24"/>
      <w:lang w:eastAsia="lt-LT"/>
    </w:rPr>
  </w:style>
  <w:style w:type="paragraph" w:styleId="Pagrindinistekstas">
    <w:name w:val="Body Text"/>
    <w:basedOn w:val="prastasis"/>
    <w:link w:val="PagrindinistekstasDiagrama"/>
    <w:uiPriority w:val="99"/>
    <w:unhideWhenUsed/>
    <w:rsid w:val="00162CBF"/>
    <w:pPr>
      <w:widowControl/>
      <w:autoSpaceDE/>
      <w:autoSpaceDN/>
      <w:adjustRightInd/>
      <w:spacing w:before="100" w:beforeAutospacing="1" w:after="100" w:afterAutospacing="1"/>
      <w:ind w:firstLine="0"/>
    </w:pPr>
    <w:rPr>
      <w:rFonts w:ascii="Times New Roman" w:hAnsi="Times New Roman" w:cs="Times New Roman"/>
      <w:sz w:val="24"/>
      <w:lang/>
    </w:rPr>
  </w:style>
  <w:style w:type="character" w:customStyle="1" w:styleId="PagrindinistekstasDiagrama">
    <w:name w:val="Pagrindinis tekstas Diagrama"/>
    <w:basedOn w:val="Numatytasispastraiposriftas"/>
    <w:link w:val="Pagrindinistekstas"/>
    <w:uiPriority w:val="99"/>
    <w:rsid w:val="00162CBF"/>
    <w:rPr>
      <w:rFonts w:eastAsia="Times New Roman" w:cs="Times New Roman"/>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04163" TargetMode="External"/><Relationship Id="rId3" Type="http://schemas.openxmlformats.org/officeDocument/2006/relationships/settings" Target="settings.xml"/><Relationship Id="rId7" Type="http://schemas.openxmlformats.org/officeDocument/2006/relationships/hyperlink" Target="http://www3.lrs.lt/pls/inter3/dokpaieska.showdoc_l?p_id=363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2/dokpaieska.showdoc_l?p_id=274054" TargetMode="External"/><Relationship Id="rId5" Type="http://schemas.openxmlformats.org/officeDocument/2006/relationships/hyperlink" Target="http://www3.lrs.lt/pls/inter3/dokpaieska.showdoc_l?p_id=22446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5484</Words>
  <Characters>3127</Characters>
  <Application>Microsoft Office Word</Application>
  <DocSecurity>0</DocSecurity>
  <Lines>26</Lines>
  <Paragraphs>17</Paragraphs>
  <ScaleCrop>false</ScaleCrop>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Baltrūnaitė</dc:creator>
  <cp:lastModifiedBy>Inga Baltrūnaitė</cp:lastModifiedBy>
  <cp:revision>1</cp:revision>
  <dcterms:created xsi:type="dcterms:W3CDTF">2013-12-02T13:02:00Z</dcterms:created>
  <dcterms:modified xsi:type="dcterms:W3CDTF">2013-12-02T13:02:00Z</dcterms:modified>
</cp:coreProperties>
</file>