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30C" w14:textId="77777777" w:rsidR="00CA770F" w:rsidRPr="0000772A" w:rsidRDefault="00BF6F9B" w:rsidP="00D978C2">
      <w:pPr>
        <w:jc w:val="right"/>
        <w:rPr>
          <w:bCs/>
          <w:szCs w:val="24"/>
        </w:rPr>
      </w:pPr>
      <w:r w:rsidRPr="0000772A">
        <w:rPr>
          <w:bCs/>
          <w:szCs w:val="24"/>
        </w:rPr>
        <w:t xml:space="preserve">                                                                   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1E5D41" w:rsidRPr="0000772A" w14:paraId="749C87C4" w14:textId="77777777">
        <w:tc>
          <w:tcPr>
            <w:tcW w:w="5000" w:type="pct"/>
          </w:tcPr>
          <w:p w14:paraId="5A18630B" w14:textId="57C53776" w:rsidR="001E5D41" w:rsidRPr="0000772A" w:rsidRDefault="001E5D41" w:rsidP="00246111">
            <w:pPr>
              <w:spacing w:after="200" w:line="276" w:lineRule="auto"/>
              <w:rPr>
                <w:szCs w:val="24"/>
              </w:rPr>
            </w:pPr>
          </w:p>
        </w:tc>
      </w:tr>
    </w:tbl>
    <w:p w14:paraId="40C75D22" w14:textId="77777777" w:rsidR="00246111" w:rsidRPr="00917C39" w:rsidRDefault="00246111" w:rsidP="00246111">
      <w:pPr>
        <w:keepNext/>
        <w:keepLines/>
        <w:spacing w:before="40"/>
        <w:jc w:val="center"/>
        <w:outlineLvl w:val="1"/>
        <w:rPr>
          <w:b/>
          <w:caps/>
          <w:szCs w:val="24"/>
        </w:rPr>
      </w:pPr>
      <w:r w:rsidRPr="0000772A">
        <w:rPr>
          <w:b/>
          <w:caps/>
          <w:szCs w:val="24"/>
        </w:rPr>
        <w:t>Stebėsenos rodiklio aprašymo kortelė</w:t>
      </w:r>
    </w:p>
    <w:p w14:paraId="34116430" w14:textId="77777777" w:rsidR="001E5D41" w:rsidRPr="0000772A" w:rsidRDefault="001E5D41" w:rsidP="001E5D41">
      <w:pPr>
        <w:keepLines/>
        <w:tabs>
          <w:tab w:val="left" w:pos="2655"/>
        </w:tabs>
        <w:rPr>
          <w:szCs w:val="24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408"/>
        <w:gridCol w:w="4970"/>
      </w:tblGrid>
      <w:tr w:rsidR="001E5D41" w:rsidRPr="0000772A" w14:paraId="051EEF53" w14:textId="77777777" w:rsidTr="006D192F">
        <w:trPr>
          <w:trHeight w:val="240"/>
        </w:trPr>
        <w:tc>
          <w:tcPr>
            <w:tcW w:w="279" w:type="pct"/>
            <w:shd w:val="clear" w:color="auto" w:fill="DBE5F1" w:themeFill="accent1" w:themeFillTint="33"/>
          </w:tcPr>
          <w:p w14:paraId="3DD38B9B" w14:textId="12452B68" w:rsidR="001E5D41" w:rsidRPr="0000772A" w:rsidRDefault="001E5D41" w:rsidP="00917C39">
            <w:pPr>
              <w:keepLines/>
              <w:rPr>
                <w:szCs w:val="24"/>
              </w:rPr>
            </w:pPr>
          </w:p>
        </w:tc>
        <w:tc>
          <w:tcPr>
            <w:tcW w:w="221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F8ECC" w14:textId="77777777" w:rsidR="001E5D41" w:rsidRPr="00917C39" w:rsidRDefault="001E5D41">
            <w:pPr>
              <w:keepLines/>
              <w:jc w:val="center"/>
              <w:rPr>
                <w:b/>
                <w:bCs/>
                <w:szCs w:val="24"/>
              </w:rPr>
            </w:pPr>
            <w:r w:rsidRPr="00917C3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502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89F95" w14:textId="1AE8769A" w:rsidR="001E5D41" w:rsidRPr="00917C39" w:rsidRDefault="001E5D41" w:rsidP="00917C39">
            <w:pPr>
              <w:keepLines/>
              <w:jc w:val="center"/>
              <w:rPr>
                <w:b/>
                <w:bCs/>
                <w:szCs w:val="24"/>
              </w:rPr>
            </w:pPr>
            <w:r w:rsidRPr="00917C39">
              <w:rPr>
                <w:b/>
                <w:bCs/>
                <w:szCs w:val="24"/>
              </w:rPr>
              <w:t>Kodas</w:t>
            </w:r>
          </w:p>
        </w:tc>
      </w:tr>
      <w:tr w:rsidR="001E5D41" w:rsidRPr="0000772A" w14:paraId="0CB18D12" w14:textId="77777777" w:rsidTr="006D192F">
        <w:tc>
          <w:tcPr>
            <w:tcW w:w="279" w:type="pct"/>
            <w:shd w:val="clear" w:color="auto" w:fill="DBE5F1" w:themeFill="accent1" w:themeFillTint="33"/>
          </w:tcPr>
          <w:p w14:paraId="0ECFEE9D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1.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1BDFF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Asignavimų valdytojas –</w:t>
            </w:r>
          </w:p>
          <w:p w14:paraId="0FE2CBFC" w14:textId="04F67120" w:rsidR="001E5D41" w:rsidRPr="00132E23" w:rsidRDefault="006D192F">
            <w:pPr>
              <w:keepLines/>
              <w:rPr>
                <w:sz w:val="20"/>
              </w:rPr>
            </w:pPr>
            <w:r w:rsidRPr="00132E23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84F0D" w14:textId="77777777" w:rsidR="001E5D41" w:rsidRPr="00132E23" w:rsidRDefault="001E5D41" w:rsidP="007D32FF">
            <w:pPr>
              <w:keepLines/>
              <w:rPr>
                <w:sz w:val="20"/>
              </w:rPr>
            </w:pPr>
          </w:p>
          <w:p w14:paraId="5BBD6AA8" w14:textId="52CDE729" w:rsidR="001E5D41" w:rsidRPr="00132E23" w:rsidRDefault="00795938" w:rsidP="007D32FF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29.900.1811</w:t>
            </w:r>
          </w:p>
        </w:tc>
      </w:tr>
      <w:tr w:rsidR="001E5D41" w:rsidRPr="0000772A" w14:paraId="7B2C1236" w14:textId="77777777" w:rsidTr="006D192F">
        <w:tc>
          <w:tcPr>
            <w:tcW w:w="279" w:type="pct"/>
            <w:shd w:val="clear" w:color="auto" w:fill="DBE5F1" w:themeFill="accent1" w:themeFillTint="33"/>
          </w:tcPr>
          <w:p w14:paraId="127D9D72" w14:textId="77777777" w:rsidR="001E5D41" w:rsidRPr="00132E23" w:rsidRDefault="001E5D41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2.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DD0D6" w14:textId="1254BFA7" w:rsidR="001E5D41" w:rsidRPr="00132E23" w:rsidRDefault="001E5D41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 xml:space="preserve">Nacionalinio pažangos plano strateginis tikslas – </w:t>
            </w:r>
          </w:p>
          <w:p w14:paraId="4511AB4F" w14:textId="175D5A16" w:rsidR="001E5D41" w:rsidRPr="00132E23" w:rsidRDefault="001353A4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26B" w14:textId="74C404BE" w:rsidR="001E5D41" w:rsidRPr="00132E23" w:rsidRDefault="001E4C68" w:rsidP="007D32FF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NPP-01</w:t>
            </w:r>
          </w:p>
        </w:tc>
      </w:tr>
      <w:tr w:rsidR="00F30637" w:rsidRPr="0000772A" w14:paraId="5A4FE3D9" w14:textId="77777777" w:rsidTr="006D192F">
        <w:tc>
          <w:tcPr>
            <w:tcW w:w="279" w:type="pct"/>
            <w:shd w:val="clear" w:color="auto" w:fill="DBE5F1" w:themeFill="accent1" w:themeFillTint="33"/>
          </w:tcPr>
          <w:p w14:paraId="64C39EAC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3.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0150" w14:textId="77777777" w:rsidR="00F30637" w:rsidRPr="00132E23" w:rsidRDefault="00F30637" w:rsidP="00F30637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 xml:space="preserve">Nacionalinio pažangos plano uždavinys – </w:t>
            </w:r>
          </w:p>
          <w:p w14:paraId="200A2539" w14:textId="27361E8C" w:rsidR="00F30637" w:rsidRPr="00132E23" w:rsidRDefault="00F30637" w:rsidP="00F30637">
            <w:pPr>
              <w:widowControl w:val="0"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2B614" w14:textId="623EBB72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NPP-01-05</w:t>
            </w:r>
          </w:p>
        </w:tc>
      </w:tr>
      <w:tr w:rsidR="00F30637" w:rsidRPr="0000772A" w14:paraId="538F41EA" w14:textId="77777777" w:rsidTr="006D192F">
        <w:tc>
          <w:tcPr>
            <w:tcW w:w="279" w:type="pct"/>
            <w:shd w:val="clear" w:color="auto" w:fill="DBE5F1" w:themeFill="accent1" w:themeFillTint="33"/>
          </w:tcPr>
          <w:p w14:paraId="45E4D9B8" w14:textId="77777777" w:rsidR="00F30637" w:rsidRPr="00132E23" w:rsidRDefault="00F30637" w:rsidP="00F30637">
            <w:pPr>
              <w:jc w:val="both"/>
              <w:rPr>
                <w:sz w:val="20"/>
              </w:rPr>
            </w:pPr>
            <w:r w:rsidRPr="00132E23">
              <w:rPr>
                <w:sz w:val="20"/>
              </w:rPr>
              <w:t>4.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EA305" w14:textId="31597A4A" w:rsidR="00F30637" w:rsidRPr="00132E23" w:rsidRDefault="00F30637" w:rsidP="00F30637">
            <w:pPr>
              <w:jc w:val="both"/>
              <w:rPr>
                <w:sz w:val="20"/>
              </w:rPr>
            </w:pPr>
            <w:r w:rsidRPr="00132E23">
              <w:rPr>
                <w:sz w:val="20"/>
              </w:rPr>
              <w:t>Strateginio veiklos plano programa –</w:t>
            </w:r>
            <w:r w:rsidR="00E15758" w:rsidRPr="00132E23">
              <w:rPr>
                <w:sz w:val="20"/>
              </w:rPr>
              <w:t xml:space="preserve"> </w:t>
            </w:r>
            <w:r w:rsidR="006D192F" w:rsidRPr="00132E23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0B2FC" w14:textId="4CD12986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</w:t>
            </w:r>
          </w:p>
        </w:tc>
      </w:tr>
      <w:tr w:rsidR="00F30637" w:rsidRPr="0000772A" w14:paraId="74918B6E" w14:textId="77777777" w:rsidTr="006D192F">
        <w:tc>
          <w:tcPr>
            <w:tcW w:w="279" w:type="pct"/>
            <w:shd w:val="clear" w:color="auto" w:fill="DBE5F1" w:themeFill="accent1" w:themeFillTint="33"/>
          </w:tcPr>
          <w:p w14:paraId="39E09C14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5.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3546" w14:textId="77777777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Strateginio veiklos plano programos uždavinys –</w:t>
            </w:r>
          </w:p>
          <w:p w14:paraId="719519BB" w14:textId="37CF7C52" w:rsidR="00F30637" w:rsidRPr="00132E23" w:rsidRDefault="00F30637" w:rsidP="00F30637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01AA" w14:textId="2DE130FA" w:rsidR="00F30637" w:rsidRPr="00132E23" w:rsidRDefault="00F30637" w:rsidP="00F30637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05-001-01-05</w:t>
            </w:r>
          </w:p>
        </w:tc>
      </w:tr>
      <w:tr w:rsidR="001F3DF8" w:rsidRPr="0000772A" w14:paraId="3FA2E95E" w14:textId="77777777" w:rsidTr="006D192F">
        <w:tc>
          <w:tcPr>
            <w:tcW w:w="279" w:type="pct"/>
            <w:shd w:val="clear" w:color="auto" w:fill="DBE5F1" w:themeFill="accent1" w:themeFillTint="33"/>
          </w:tcPr>
          <w:p w14:paraId="0E9EEF67" w14:textId="77777777" w:rsidR="001F3DF8" w:rsidRPr="00132E23" w:rsidRDefault="001F3DF8" w:rsidP="001F3DF8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>6.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4152" w14:textId="77777777" w:rsidR="001F3DF8" w:rsidRPr="00132E23" w:rsidRDefault="001F3DF8" w:rsidP="001F3DF8">
            <w:pPr>
              <w:widowControl w:val="0"/>
              <w:rPr>
                <w:sz w:val="20"/>
              </w:rPr>
            </w:pPr>
            <w:r w:rsidRPr="00132E23">
              <w:rPr>
                <w:sz w:val="20"/>
              </w:rPr>
              <w:t>Strateginio veiklos plano programos priemonė –</w:t>
            </w:r>
          </w:p>
          <w:p w14:paraId="474DBA38" w14:textId="38BB8002" w:rsidR="001F3DF8" w:rsidRPr="00132E23" w:rsidRDefault="00795938" w:rsidP="001F3DF8">
            <w:pPr>
              <w:keepLines/>
              <w:rPr>
                <w:b/>
                <w:bCs/>
                <w:sz w:val="20"/>
              </w:rPr>
            </w:pPr>
            <w:r w:rsidRPr="00132E23">
              <w:rPr>
                <w:b/>
                <w:bCs/>
                <w:sz w:val="20"/>
              </w:rPr>
              <w:t>Sukurti nuoseklią inovacinės veiklos skatinimo sistemą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DF79" w14:textId="27E2FAA6" w:rsidR="001F3DF8" w:rsidRPr="00132E23" w:rsidRDefault="001F3DF8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05-001-01-05-07</w:t>
            </w:r>
          </w:p>
        </w:tc>
      </w:tr>
      <w:tr w:rsidR="001F3DF8" w:rsidRPr="0000772A" w14:paraId="001C00C2" w14:textId="77777777" w:rsidTr="006D192F">
        <w:tc>
          <w:tcPr>
            <w:tcW w:w="279" w:type="pct"/>
            <w:shd w:val="clear" w:color="auto" w:fill="DBE5F1" w:themeFill="accent1" w:themeFillTint="33"/>
          </w:tcPr>
          <w:p w14:paraId="4090FDFE" w14:textId="5DAD0CD5" w:rsidR="001F3DF8" w:rsidRPr="00132E23" w:rsidRDefault="00FF64F9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7</w:t>
            </w:r>
            <w:r w:rsidR="001F3DF8" w:rsidRPr="00132E23">
              <w:rPr>
                <w:sz w:val="20"/>
              </w:rPr>
              <w:t>.</w:t>
            </w:r>
          </w:p>
        </w:tc>
        <w:tc>
          <w:tcPr>
            <w:tcW w:w="2219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688C" w14:textId="2782D83B" w:rsidR="001F3DF8" w:rsidRPr="00132E23" w:rsidRDefault="001F3DF8" w:rsidP="000102E7">
            <w:pPr>
              <w:jc w:val="both"/>
              <w:rPr>
                <w:sz w:val="20"/>
              </w:rPr>
            </w:pPr>
            <w:r w:rsidRPr="00132E23">
              <w:rPr>
                <w:bCs/>
                <w:sz w:val="20"/>
              </w:rPr>
              <w:t>Rodiklio pavadinimas</w:t>
            </w:r>
            <w:r w:rsidR="00B96DA0" w:rsidRPr="00132E23">
              <w:rPr>
                <w:bCs/>
                <w:sz w:val="20"/>
              </w:rPr>
              <w:t xml:space="preserve"> </w:t>
            </w:r>
            <w:r w:rsidRPr="00132E23">
              <w:rPr>
                <w:sz w:val="20"/>
              </w:rPr>
              <w:t>–</w:t>
            </w:r>
            <w:r w:rsidR="00915DA6" w:rsidRPr="00132E23">
              <w:rPr>
                <w:sz w:val="20"/>
              </w:rPr>
              <w:t xml:space="preserve"> </w:t>
            </w:r>
            <w:r w:rsidR="00E07CA5" w:rsidRPr="00132E23">
              <w:rPr>
                <w:b/>
                <w:bCs/>
                <w:sz w:val="20"/>
              </w:rPr>
              <w:t>Investicijas gavusios įmonės pajamų, gautų iš tiesiogiai projekto metu sukurtų ir rinkai pateiktų produktų, santykis su skirtomis investicijomis</w:t>
            </w:r>
          </w:p>
        </w:tc>
        <w:tc>
          <w:tcPr>
            <w:tcW w:w="2502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C2BCA" w14:textId="3DB097AD" w:rsidR="00B333BF" w:rsidRPr="00132E23" w:rsidRDefault="00B333BF" w:rsidP="003022D3">
            <w:pPr>
              <w:keepLines/>
              <w:jc w:val="both"/>
              <w:rPr>
                <w:sz w:val="20"/>
                <w:lang w:val="en-US"/>
              </w:rPr>
            </w:pPr>
            <w:r w:rsidRPr="00132E23">
              <w:rPr>
                <w:sz w:val="20"/>
                <w:lang w:val="en-US"/>
              </w:rPr>
              <w:t>R-05-001-01-05-07-25</w:t>
            </w:r>
          </w:p>
          <w:p w14:paraId="70336E51" w14:textId="03A9CD0D" w:rsidR="001F3DF8" w:rsidRPr="00132E23" w:rsidRDefault="00E07CA5" w:rsidP="003022D3">
            <w:pPr>
              <w:keepLines/>
              <w:jc w:val="both"/>
              <w:rPr>
                <w:sz w:val="20"/>
                <w:lang w:val="en-US"/>
              </w:rPr>
            </w:pPr>
            <w:r w:rsidRPr="00132E23">
              <w:rPr>
                <w:sz w:val="20"/>
                <w:lang w:val="en-US"/>
              </w:rPr>
              <w:t>R.N.2. 5640</w:t>
            </w:r>
          </w:p>
        </w:tc>
      </w:tr>
      <w:tr w:rsidR="00B96DA0" w:rsidRPr="0000772A" w14:paraId="0D652CCB" w14:textId="77777777" w:rsidTr="006D192F">
        <w:tc>
          <w:tcPr>
            <w:tcW w:w="279" w:type="pct"/>
            <w:shd w:val="clear" w:color="auto" w:fill="DBE5F1" w:themeFill="accent1" w:themeFillTint="33"/>
          </w:tcPr>
          <w:p w14:paraId="115DF5AB" w14:textId="6DAF0410" w:rsidR="00B96DA0" w:rsidRPr="00132E23" w:rsidRDefault="00B96DA0" w:rsidP="001F3DF8">
            <w:pPr>
              <w:keepLines/>
              <w:rPr>
                <w:sz w:val="20"/>
              </w:rPr>
            </w:pPr>
            <w:r w:rsidRPr="00132E23">
              <w:rPr>
                <w:sz w:val="20"/>
              </w:rPr>
              <w:t>8.</w:t>
            </w:r>
          </w:p>
        </w:tc>
        <w:tc>
          <w:tcPr>
            <w:tcW w:w="2219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66322" w14:textId="71718D6C" w:rsidR="00B96DA0" w:rsidRPr="00132E23" w:rsidRDefault="00B96DA0" w:rsidP="000102E7">
            <w:pPr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 xml:space="preserve">Matavimo vienetas </w:t>
            </w:r>
          </w:p>
        </w:tc>
        <w:tc>
          <w:tcPr>
            <w:tcW w:w="2502" w:type="pc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5EA29" w14:textId="506F5A1C" w:rsidR="00B96DA0" w:rsidRPr="00132E23" w:rsidRDefault="00B96DA0" w:rsidP="003022D3">
            <w:pPr>
              <w:keepLines/>
              <w:jc w:val="both"/>
              <w:rPr>
                <w:sz w:val="20"/>
                <w:lang w:val="en-US"/>
              </w:rPr>
            </w:pPr>
            <w:proofErr w:type="spellStart"/>
            <w:r w:rsidRPr="00132E23">
              <w:rPr>
                <w:sz w:val="20"/>
                <w:lang w:val="en-US"/>
              </w:rPr>
              <w:t>Procentai</w:t>
            </w:r>
            <w:proofErr w:type="spellEnd"/>
          </w:p>
        </w:tc>
      </w:tr>
      <w:tr w:rsidR="001F3DF8" w:rsidRPr="0000772A" w14:paraId="3D74485D" w14:textId="77777777" w:rsidTr="006D192F">
        <w:trPr>
          <w:trHeight w:val="813"/>
        </w:trPr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5B22C" w14:textId="6F9DA92E" w:rsidR="001F3DF8" w:rsidRPr="00132E23" w:rsidRDefault="00B96DA0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9</w:t>
            </w:r>
            <w:r w:rsidR="001F3DF8"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1574" w14:textId="7777777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Rodiklio paaiškinimas</w:t>
            </w:r>
          </w:p>
          <w:p w14:paraId="1DC0F8B5" w14:textId="0753773D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59337" w14:textId="405CBBC0" w:rsidR="00541DDF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Naudos kokybės kriterijui „Projekto įgyvendinimo metu ir 3 metus po projekto veiklų įgyvendinimo pabaigos įmonės pajamų, gautų iš tiesiogiai projekto įgyvendinimo metu sukurtų ir rinkai pateiktų produktų, santykis su tinkamomis finansuoti projekto išlaidomis“ tikrinimui ir įvertinimui sukurtas rezultato </w:t>
            </w:r>
            <w:r w:rsidR="00307743" w:rsidRPr="00132E23">
              <w:rPr>
                <w:sz w:val="20"/>
              </w:rPr>
              <w:t xml:space="preserve">nacionalinis </w:t>
            </w:r>
            <w:r w:rsidRPr="00132E23">
              <w:rPr>
                <w:sz w:val="20"/>
              </w:rPr>
              <w:t>stebėsenos rodiklis.</w:t>
            </w:r>
          </w:p>
          <w:p w14:paraId="3855C5D5" w14:textId="3D5BA088" w:rsidR="006E54F6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Apskaičiuojamas projekto įgyvendinimo metu ir 3 metus po projekto veiklų įgyvendinimo pabaigos </w:t>
            </w:r>
            <w:r w:rsidR="00296622" w:rsidRPr="00132E23">
              <w:rPr>
                <w:sz w:val="20"/>
              </w:rPr>
              <w:t xml:space="preserve">investicijas gavusios </w:t>
            </w:r>
            <w:r w:rsidR="00E93E3F" w:rsidRPr="00132E23">
              <w:rPr>
                <w:sz w:val="20"/>
              </w:rPr>
              <w:t>į</w:t>
            </w:r>
            <w:r w:rsidRPr="00132E23">
              <w:rPr>
                <w:sz w:val="20"/>
              </w:rPr>
              <w:t>monės pajamų</w:t>
            </w:r>
            <w:r w:rsidR="00296622" w:rsidRPr="00132E23">
              <w:rPr>
                <w:sz w:val="20"/>
              </w:rPr>
              <w:t>, gautų</w:t>
            </w:r>
            <w:r w:rsidRPr="00132E23">
              <w:rPr>
                <w:sz w:val="20"/>
              </w:rPr>
              <w:t xml:space="preserve"> iš tiesiogiai projekto įgyvendinimo metu sukurtų ir rinkai pateiktų produktų</w:t>
            </w:r>
            <w:r w:rsidR="00E93E3F" w:rsidRPr="00132E23">
              <w:rPr>
                <w:sz w:val="20"/>
              </w:rPr>
              <w:t>,</w:t>
            </w:r>
            <w:r w:rsidRPr="00132E23">
              <w:rPr>
                <w:sz w:val="20"/>
              </w:rPr>
              <w:t xml:space="preserve"> santykis su</w:t>
            </w:r>
            <w:r w:rsidR="00307743" w:rsidRPr="00132E23">
              <w:rPr>
                <w:sz w:val="20"/>
              </w:rPr>
              <w:t xml:space="preserve"> skirtomis investicijomis.</w:t>
            </w:r>
          </w:p>
          <w:p w14:paraId="47636F60" w14:textId="77777777" w:rsidR="00533CBD" w:rsidRPr="00132E23" w:rsidRDefault="00541DDF" w:rsidP="000D12CA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Investicijas gavusi įmonė – įmonė, gavusi paramą iš 2021–2027 metų Europos Sąjungos fondų investicijų programos</w:t>
            </w:r>
            <w:r w:rsidR="0077587A" w:rsidRPr="00132E23">
              <w:rPr>
                <w:sz w:val="20"/>
              </w:rPr>
              <w:t xml:space="preserve"> </w:t>
            </w:r>
            <w:r w:rsidR="003C5181" w:rsidRPr="00132E23">
              <w:rPr>
                <w:sz w:val="20"/>
              </w:rPr>
              <w:t xml:space="preserve">su tikslu </w:t>
            </w:r>
            <w:r w:rsidR="0077587A" w:rsidRPr="00132E23">
              <w:rPr>
                <w:sz w:val="20"/>
              </w:rPr>
              <w:t>investuoti į naujų aukštos pridėtinės vertės produktų kūrimo veiklas ir sudaryti sąlygas tyrėjams dalyvauti įmonių mokslinių tyrimų ir eksperimentinės plėtro</w:t>
            </w:r>
            <w:r w:rsidR="003C5181" w:rsidRPr="00132E23">
              <w:rPr>
                <w:sz w:val="20"/>
              </w:rPr>
              <w:t>s</w:t>
            </w:r>
            <w:r w:rsidR="0077587A" w:rsidRPr="00132E23">
              <w:rPr>
                <w:sz w:val="20"/>
              </w:rPr>
              <w:t xml:space="preserve"> veiklose, skatinti intelektinę nuosavybę, ankstyvąją sukurtų naujų produktų bandomąją gamybą, parengimą rinkai</w:t>
            </w:r>
            <w:r w:rsidRPr="00132E23">
              <w:rPr>
                <w:sz w:val="20"/>
              </w:rPr>
              <w:t>.</w:t>
            </w:r>
            <w:r w:rsidR="000D12CA" w:rsidRPr="00132E23">
              <w:rPr>
                <w:sz w:val="20"/>
              </w:rPr>
              <w:t xml:space="preserve"> </w:t>
            </w:r>
          </w:p>
          <w:p w14:paraId="30121D78" w14:textId="100B5112" w:rsidR="00541DDF" w:rsidRPr="00132E23" w:rsidRDefault="000D12CA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Skirta investicija –</w:t>
            </w:r>
            <w:r w:rsidR="00533CBD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tinkamos finansuoti projekto išlaidos.</w:t>
            </w:r>
          </w:p>
          <w:p w14:paraId="541FFAA3" w14:textId="50AEC87E" w:rsidR="00541DDF" w:rsidRPr="00132E23" w:rsidRDefault="00541DDF" w:rsidP="00541DDF">
            <w:pPr>
              <w:keepLines/>
              <w:jc w:val="both"/>
              <w:rPr>
                <w:sz w:val="20"/>
              </w:rPr>
            </w:pPr>
            <w:r w:rsidRPr="00132E23">
              <w:rPr>
                <w:sz w:val="20"/>
              </w:rPr>
              <w:t>Produktas – įmonės sukurtas gaminys, paslauga ar procesas.</w:t>
            </w:r>
          </w:p>
          <w:p w14:paraId="0F11EB15" w14:textId="505FFFA2" w:rsidR="002C1E66" w:rsidRPr="00132E23" w:rsidRDefault="00541DDF" w:rsidP="00D25853">
            <w:pPr>
              <w:keepLines/>
              <w:jc w:val="both"/>
              <w:rPr>
                <w:strike/>
                <w:sz w:val="20"/>
              </w:rPr>
            </w:pPr>
            <w:r w:rsidRPr="00132E23">
              <w:rPr>
                <w:sz w:val="20"/>
              </w:rPr>
              <w:t xml:space="preserve">Tinkamos finansuoti </w:t>
            </w:r>
            <w:r w:rsidR="00CD36F4" w:rsidRPr="00132E23">
              <w:rPr>
                <w:sz w:val="20"/>
              </w:rPr>
              <w:t>projekto</w:t>
            </w:r>
            <w:r w:rsidR="009C515B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išlaidos suprantamos taip, kaip jos yra apibrėžtos Projektų administravimo ir finansavimo taisyklėse, patvirtintose 2022 m. birželio 22 d. Lietuvos Respublikos finansų ministro įsakymu Nr. 1K-237 „Dėl 2021–2027 metų Europos Sąjungos fondų investicijų programos ir Ekonomikos gaivinimo ir atsparumo didinimo plano „Naujos kartos Lietuva“ įgyvendinimo“.</w:t>
            </w:r>
          </w:p>
        </w:tc>
      </w:tr>
      <w:tr w:rsidR="001F3DF8" w:rsidRPr="0000772A" w14:paraId="7D746698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799D" w14:textId="01EDA912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lastRenderedPageBreak/>
              <w:t>1</w:t>
            </w:r>
            <w:r w:rsidR="00B96DA0" w:rsidRPr="00132E23">
              <w:rPr>
                <w:sz w:val="20"/>
              </w:rPr>
              <w:t>0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C66BC" w14:textId="7777777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Rodiklio reikšmės apskaičiavimo formulė</w:t>
            </w:r>
          </w:p>
          <w:p w14:paraId="3B0E06F3" w14:textId="43A4A6B6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065AE" w14:textId="3341051A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Rodiklio pasiekimo momentas – stebėsenos rodiklis laikomas pasiektu, kai projekto vykdytojas, remdamasis prie pirminių šaltinių nurodytais dokumentais, apskaičiuoja stebėsenos rodiklio reikšmę, pasiektą</w:t>
            </w:r>
            <w:r w:rsidR="004725A0" w:rsidRPr="00132E23">
              <w:rPr>
                <w:sz w:val="20"/>
              </w:rPr>
              <w:t xml:space="preserve"> projekto įgyvendinimo metu ir</w:t>
            </w:r>
            <w:r w:rsidR="00D25853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per 3 metus po projekto veiklų įgyvendinimo pabaigos.</w:t>
            </w:r>
          </w:p>
          <w:p w14:paraId="6779D113" w14:textId="77777777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Apskaičiuojama pagal formulę X=P/I*100 proc., kurioje: </w:t>
            </w:r>
          </w:p>
          <w:p w14:paraId="4756B253" w14:textId="61939B3E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  <w:highlight w:val="yellow"/>
              </w:rPr>
            </w:pPr>
            <w:r w:rsidRPr="00132E23">
              <w:rPr>
                <w:sz w:val="20"/>
              </w:rPr>
              <w:t>P – projekto įgyvendinimo metu ir 3 metus po projekto veiklų įgyvendinimo pabaigos įmonės gautos pajamos</w:t>
            </w:r>
            <w:r w:rsidR="00F06C30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 xml:space="preserve">iš tiesiogiai projekto metu sukurtų ir rinkai pateiktų produktų (pokyčio </w:t>
            </w:r>
            <w:r w:rsidR="00231D50" w:rsidRPr="00132E23">
              <w:rPr>
                <w:sz w:val="20"/>
              </w:rPr>
              <w:t xml:space="preserve">stebėsenos </w:t>
            </w:r>
            <w:r w:rsidRPr="00132E23">
              <w:rPr>
                <w:sz w:val="20"/>
              </w:rPr>
              <w:t>rodiklis (kintamasis</w:t>
            </w:r>
            <w:r w:rsidR="00231D50" w:rsidRPr="00132E23">
              <w:rPr>
                <w:sz w:val="20"/>
              </w:rPr>
              <w:t>)</w:t>
            </w:r>
            <w:r w:rsidRPr="00132E23">
              <w:rPr>
                <w:sz w:val="20"/>
              </w:rPr>
              <w:t xml:space="preserve">; </w:t>
            </w:r>
          </w:p>
          <w:p w14:paraId="6403ED9F" w14:textId="53F3E544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I –</w:t>
            </w:r>
            <w:r w:rsidR="00572886" w:rsidRPr="00132E23">
              <w:rPr>
                <w:sz w:val="20"/>
              </w:rPr>
              <w:t xml:space="preserve"> </w:t>
            </w:r>
            <w:r w:rsidR="00B333BF" w:rsidRPr="00132E23">
              <w:rPr>
                <w:sz w:val="20"/>
              </w:rPr>
              <w:t xml:space="preserve">tinkamos </w:t>
            </w:r>
            <w:r w:rsidR="004F5A30" w:rsidRPr="00132E23">
              <w:rPr>
                <w:sz w:val="20"/>
              </w:rPr>
              <w:t>finansuoti</w:t>
            </w:r>
            <w:r w:rsidR="00B333BF" w:rsidRPr="00132E23">
              <w:rPr>
                <w:sz w:val="20"/>
              </w:rPr>
              <w:t xml:space="preserve"> projekt</w:t>
            </w:r>
            <w:r w:rsidR="00A37B30" w:rsidRPr="00132E23">
              <w:rPr>
                <w:sz w:val="20"/>
              </w:rPr>
              <w:t>o</w:t>
            </w:r>
            <w:r w:rsidR="00B333BF" w:rsidRPr="00132E23">
              <w:rPr>
                <w:sz w:val="20"/>
              </w:rPr>
              <w:t xml:space="preserve"> išlaidos</w:t>
            </w:r>
            <w:r w:rsidR="00A37B30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(bazini</w:t>
            </w:r>
            <w:r w:rsidR="004F5A30" w:rsidRPr="00132E23">
              <w:rPr>
                <w:sz w:val="20"/>
              </w:rPr>
              <w:t>s</w:t>
            </w:r>
            <w:r w:rsidRPr="00132E23">
              <w:rPr>
                <w:sz w:val="20"/>
              </w:rPr>
              <w:t xml:space="preserve"> </w:t>
            </w:r>
            <w:r w:rsidR="00254635" w:rsidRPr="00132E23">
              <w:rPr>
                <w:sz w:val="20"/>
              </w:rPr>
              <w:t>stebėsenos</w:t>
            </w:r>
            <w:r w:rsidRPr="00132E23">
              <w:rPr>
                <w:sz w:val="20"/>
              </w:rPr>
              <w:t xml:space="preserve"> rodiklis</w:t>
            </w:r>
            <w:r w:rsidR="00A37B30" w:rsidRPr="00132E23">
              <w:rPr>
                <w:sz w:val="20"/>
              </w:rPr>
              <w:t xml:space="preserve"> (kintamasis</w:t>
            </w:r>
            <w:r w:rsidR="005F06E0" w:rsidRPr="00132E23">
              <w:rPr>
                <w:sz w:val="20"/>
              </w:rPr>
              <w:t>, fiksuojamas projekto pabaigoje</w:t>
            </w:r>
            <w:r w:rsidR="00A37B30" w:rsidRPr="00132E23">
              <w:rPr>
                <w:sz w:val="20"/>
              </w:rPr>
              <w:t>);</w:t>
            </w:r>
            <w:r w:rsidRPr="00132E23">
              <w:rPr>
                <w:sz w:val="20"/>
              </w:rPr>
              <w:t xml:space="preserve"> </w:t>
            </w:r>
          </w:p>
          <w:p w14:paraId="354AC977" w14:textId="3E8168B6" w:rsidR="001F3DF8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X – santykis tarp pajamų, gautų iš projekto įgyvendinimo metu ir 3 metus po projekto veiklų įgyvendinimo pabaigos tiesiogiai projekto metu sukurtų ir rinkai pateiktų produktų ir išlaidų, </w:t>
            </w:r>
            <w:r w:rsidR="00BC5795" w:rsidRPr="00132E23">
              <w:rPr>
                <w:sz w:val="20"/>
              </w:rPr>
              <w:t>skirtų</w:t>
            </w:r>
            <w:r w:rsidR="00CD25E1" w:rsidRPr="00132E23">
              <w:rPr>
                <w:sz w:val="20"/>
              </w:rPr>
              <w:t xml:space="preserve"> </w:t>
            </w:r>
            <w:r w:rsidRPr="00132E23">
              <w:rPr>
                <w:sz w:val="20"/>
              </w:rPr>
              <w:t>projektui finansuoti.</w:t>
            </w:r>
          </w:p>
          <w:p w14:paraId="242D6B26" w14:textId="123A9389" w:rsidR="0064729B" w:rsidRPr="00132E23" w:rsidRDefault="0064729B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 xml:space="preserve">X reikšmė apskaičiuojama </w:t>
            </w:r>
            <w:r w:rsidR="003C7957" w:rsidRPr="00132E23">
              <w:rPr>
                <w:sz w:val="20"/>
              </w:rPr>
              <w:t>projekto įgyvendinimo plano (toliau – PĮP)</w:t>
            </w:r>
            <w:r w:rsidRPr="00132E23">
              <w:rPr>
                <w:sz w:val="20"/>
              </w:rPr>
              <w:t xml:space="preserve"> vertinimo metu pagal PĮP pateiktas P prognozes ir vertinimo metu nustatytą I dydį. Projekto pabaigoje I dydis patikslinamas pagal faktinius duomenis, X dydis nekeičiamas, o siekiama P reikšmė galutinai nustatoma projekto pabaigoje</w:t>
            </w:r>
            <w:r w:rsidR="003C7957" w:rsidRPr="00132E23">
              <w:rPr>
                <w:sz w:val="20"/>
              </w:rPr>
              <w:t>.</w:t>
            </w:r>
          </w:p>
        </w:tc>
      </w:tr>
      <w:tr w:rsidR="001F3DF8" w:rsidRPr="0000772A" w14:paraId="0A4E28B4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D498" w14:textId="7FBECCC9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1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A4DF3" w14:textId="65AA8375" w:rsidR="001F3DF8" w:rsidRPr="00132E23" w:rsidRDefault="001F3DF8" w:rsidP="001F3DF8">
            <w:pPr>
              <w:rPr>
                <w:sz w:val="20"/>
              </w:rPr>
            </w:pPr>
            <w:r w:rsidRPr="00132E23">
              <w:rPr>
                <w:sz w:val="20"/>
              </w:rPr>
              <w:t xml:space="preserve">Rodiklio ir jo dėmenų detalumas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D345A" w14:textId="5B409DBD" w:rsidR="001F3DF8" w:rsidRPr="00132E23" w:rsidRDefault="00F17899" w:rsidP="00F17899">
            <w:pPr>
              <w:jc w:val="both"/>
              <w:rPr>
                <w:strike/>
                <w:sz w:val="20"/>
              </w:rPr>
            </w:pPr>
            <w:r w:rsidRPr="00132E23">
              <w:rPr>
                <w:strike/>
                <w:sz w:val="20"/>
              </w:rPr>
              <w:t>-</w:t>
            </w:r>
          </w:p>
        </w:tc>
      </w:tr>
      <w:tr w:rsidR="001F3DF8" w:rsidRPr="0000772A" w14:paraId="0C170F00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C4A38" w14:textId="46976295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2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D818" w14:textId="3E7BC32D" w:rsidR="001F3DF8" w:rsidRPr="00132E23" w:rsidRDefault="001F3DF8" w:rsidP="009F6BEE">
            <w:pPr>
              <w:rPr>
                <w:sz w:val="20"/>
              </w:rPr>
            </w:pPr>
            <w:r w:rsidRPr="00132E23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9DD99" w14:textId="4C17EEEF" w:rsidR="00916E07" w:rsidRPr="00132E23" w:rsidRDefault="005F06E0" w:rsidP="002D206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Galimas</w:t>
            </w:r>
            <w:r w:rsidR="00916E07" w:rsidRPr="00132E23">
              <w:rPr>
                <w:sz w:val="20"/>
              </w:rPr>
              <w:t xml:space="preserve"> dalinis pasiekim</w:t>
            </w:r>
            <w:r w:rsidRPr="00132E23">
              <w:rPr>
                <w:sz w:val="20"/>
              </w:rPr>
              <w:t>o fiksavimas</w:t>
            </w:r>
            <w:r w:rsidR="00916E07" w:rsidRPr="00132E23">
              <w:rPr>
                <w:sz w:val="20"/>
              </w:rPr>
              <w:t xml:space="preserve"> 1-aisiais ir 2-aisiais metais po projekto pabaigos</w:t>
            </w:r>
            <w:r w:rsidRPr="00132E23">
              <w:rPr>
                <w:sz w:val="20"/>
              </w:rPr>
              <w:t>, galutinai už rodiklio pasiekimą atsiskaitoma</w:t>
            </w:r>
            <w:r w:rsidR="00916E07" w:rsidRPr="00132E23">
              <w:rPr>
                <w:sz w:val="20"/>
              </w:rPr>
              <w:t xml:space="preserve"> praėjus 3 metams po projekto veiklų įgyvendinimo</w:t>
            </w:r>
            <w:r w:rsidR="007E1D56" w:rsidRPr="00132E23">
              <w:rPr>
                <w:sz w:val="20"/>
              </w:rPr>
              <w:t>.</w:t>
            </w:r>
          </w:p>
        </w:tc>
      </w:tr>
      <w:tr w:rsidR="001F3DF8" w:rsidRPr="0000772A" w14:paraId="4F8A873F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35C" w14:textId="7C87362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3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355B3" w14:textId="78E08449" w:rsidR="001F3DF8" w:rsidRPr="00132E23" w:rsidRDefault="00127CC0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 xml:space="preserve">Pirminis duomenų šaltinis </w:t>
            </w: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EC4DF" w14:textId="4990BBAE" w:rsidR="00317F95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trike/>
                <w:sz w:val="20"/>
              </w:rPr>
            </w:pPr>
            <w:r w:rsidRPr="00132E23">
              <w:rPr>
                <w:sz w:val="20"/>
              </w:rPr>
              <w:t xml:space="preserve">Pirminiai šaltiniai: </w:t>
            </w:r>
            <w:bookmarkStart w:id="0" w:name="_Hlk120881735"/>
            <w:r w:rsidRPr="00132E23">
              <w:rPr>
                <w:sz w:val="20"/>
              </w:rPr>
              <w:t xml:space="preserve">pažymos </w:t>
            </w:r>
            <w:r w:rsidR="00051539" w:rsidRPr="00132E23">
              <w:rPr>
                <w:sz w:val="20"/>
              </w:rPr>
              <w:t xml:space="preserve">apie </w:t>
            </w:r>
            <w:r w:rsidRPr="00132E23">
              <w:rPr>
                <w:sz w:val="20"/>
              </w:rPr>
              <w:t xml:space="preserve">gautas pajamas, sąskaitos faktūros, </w:t>
            </w:r>
            <w:bookmarkStart w:id="1" w:name="_Hlk120881672"/>
            <w:r w:rsidRPr="00132E23">
              <w:rPr>
                <w:sz w:val="20"/>
              </w:rPr>
              <w:t>finansinės atskaitomybės dokumentai</w:t>
            </w:r>
            <w:bookmarkEnd w:id="1"/>
            <w:r w:rsidRPr="00132E23">
              <w:rPr>
                <w:sz w:val="20"/>
              </w:rPr>
              <w:t>, paremtų projektų įgyvendinimo ataskaitos</w:t>
            </w:r>
            <w:bookmarkEnd w:id="0"/>
            <w:r w:rsidRPr="00132E23">
              <w:rPr>
                <w:sz w:val="20"/>
              </w:rPr>
              <w:t xml:space="preserve">. </w:t>
            </w:r>
          </w:p>
          <w:p w14:paraId="377FD623" w14:textId="77777777" w:rsidR="00ED222B" w:rsidRPr="00132E23" w:rsidRDefault="00317F95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</w:rPr>
              <w:t>Antriniai šaltiniai:</w:t>
            </w:r>
            <w:r w:rsidR="009B68CB" w:rsidRPr="00132E23">
              <w:rPr>
                <w:sz w:val="20"/>
              </w:rPr>
              <w:t xml:space="preserve"> </w:t>
            </w:r>
            <w:r w:rsidR="00B82AEC" w:rsidRPr="00132E23">
              <w:rPr>
                <w:sz w:val="20"/>
              </w:rPr>
              <w:t>d</w:t>
            </w:r>
            <w:r w:rsidR="009B68CB" w:rsidRPr="00132E23">
              <w:rPr>
                <w:sz w:val="20"/>
              </w:rPr>
              <w:t>uomenų rinkimo informacinė sistema  „INVESTIS“.</w:t>
            </w:r>
            <w:r w:rsidRPr="00132E23">
              <w:rPr>
                <w:sz w:val="20"/>
              </w:rPr>
              <w:t xml:space="preserve"> </w:t>
            </w:r>
          </w:p>
          <w:p w14:paraId="139B8002" w14:textId="7CB25116" w:rsidR="003E0B30" w:rsidRPr="00132E23" w:rsidRDefault="003E0B30" w:rsidP="00317F95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sz w:val="20"/>
                <w:lang w:eastAsia="lt-LT"/>
              </w:rPr>
              <w:t>Projekto vykdytojas yra atsakingas už duomenų ir informacijos apie rodiklio pasiekimą</w:t>
            </w:r>
            <w:r w:rsidR="00E5762E" w:rsidRPr="00132E23">
              <w:rPr>
                <w:sz w:val="20"/>
                <w:lang w:eastAsia="lt-LT"/>
              </w:rPr>
              <w:t>, surinkimą</w:t>
            </w:r>
            <w:r w:rsidRPr="00132E23">
              <w:rPr>
                <w:sz w:val="20"/>
                <w:lang w:eastAsia="lt-LT"/>
              </w:rPr>
              <w:t xml:space="preserve"> ir pateikimą administruojančiai institucijai.</w:t>
            </w:r>
          </w:p>
        </w:tc>
      </w:tr>
      <w:tr w:rsidR="001F3DF8" w:rsidRPr="0000772A" w14:paraId="41825890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EE2C2" w14:textId="1EBA9B78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4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EABE" w14:textId="57AB6957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Už rodiklį atsakingas kontaktinis asmuo</w:t>
            </w:r>
          </w:p>
          <w:p w14:paraId="138352B1" w14:textId="213B63E2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BA1D0" w14:textId="03BD8F85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Už rodiklio</w:t>
            </w:r>
            <w:r w:rsidR="00E95B1A" w:rsidRPr="00132E23">
              <w:rPr>
                <w:bCs/>
                <w:sz w:val="20"/>
              </w:rPr>
              <w:t xml:space="preserve"> stebėseną (duomenų</w:t>
            </w:r>
            <w:r w:rsidR="00CF5E6B" w:rsidRPr="00132E23">
              <w:rPr>
                <w:bCs/>
                <w:sz w:val="20"/>
              </w:rPr>
              <w:t xml:space="preserve"> </w:t>
            </w:r>
            <w:r w:rsidR="006D192F" w:rsidRPr="00132E23">
              <w:rPr>
                <w:bCs/>
                <w:sz w:val="20"/>
              </w:rPr>
              <w:t>surinkimą</w:t>
            </w:r>
            <w:r w:rsidR="00E5762E" w:rsidRPr="00132E23">
              <w:rPr>
                <w:bCs/>
                <w:sz w:val="20"/>
              </w:rPr>
              <w:t xml:space="preserve"> </w:t>
            </w:r>
            <w:r w:rsidR="00E95B1A" w:rsidRPr="00132E23">
              <w:rPr>
                <w:bCs/>
                <w:sz w:val="20"/>
              </w:rPr>
              <w:t>ir paviešinimą)</w:t>
            </w:r>
            <w:r w:rsidR="006D192F" w:rsidRPr="00132E23">
              <w:rPr>
                <w:bCs/>
                <w:sz w:val="20"/>
              </w:rPr>
              <w:t>:</w:t>
            </w:r>
            <w:r w:rsidR="00E95B1A" w:rsidRPr="00132E23">
              <w:rPr>
                <w:bCs/>
                <w:sz w:val="20"/>
              </w:rPr>
              <w:t xml:space="preserve"> </w:t>
            </w:r>
            <w:r w:rsidRPr="00132E23">
              <w:rPr>
                <w:bCs/>
                <w:sz w:val="20"/>
              </w:rPr>
              <w:t xml:space="preserve"> </w:t>
            </w:r>
          </w:p>
          <w:p w14:paraId="657C87AA" w14:textId="77777777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Povilas Kriaučeliūnas</w:t>
            </w:r>
            <w:r w:rsidR="00E95B1A" w:rsidRPr="00132E23">
              <w:rPr>
                <w:bCs/>
                <w:sz w:val="20"/>
              </w:rPr>
              <w:t xml:space="preserve"> </w:t>
            </w:r>
          </w:p>
          <w:p w14:paraId="5EA06884" w14:textId="23ADB1E5" w:rsidR="00D03A57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Ekonomikos ir inovacijų ministerijos</w:t>
            </w:r>
            <w:r w:rsidR="00F07151" w:rsidRPr="00132E23">
              <w:rPr>
                <w:bCs/>
                <w:sz w:val="20"/>
              </w:rPr>
              <w:t xml:space="preserve"> </w:t>
            </w:r>
          </w:p>
          <w:p w14:paraId="49D5DAE4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 xml:space="preserve">Europos Sąjungos investicijų koordinavimo departamento </w:t>
            </w:r>
          </w:p>
          <w:p w14:paraId="0CEB98F9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Europos Sąjungos investicijų valdymo skyriaus vyriausiasis specialistas</w:t>
            </w:r>
            <w:r w:rsidR="00F07151" w:rsidRPr="00132E23">
              <w:rPr>
                <w:bCs/>
                <w:sz w:val="20"/>
              </w:rPr>
              <w:t xml:space="preserve">, </w:t>
            </w:r>
          </w:p>
          <w:p w14:paraId="6AD11D16" w14:textId="77777777" w:rsidR="005E27DD" w:rsidRPr="00132E23" w:rsidRDefault="00317F95" w:rsidP="00D03A57">
            <w:pPr>
              <w:widowControl w:val="0"/>
              <w:jc w:val="both"/>
              <w:rPr>
                <w:bCs/>
                <w:sz w:val="20"/>
              </w:rPr>
            </w:pPr>
            <w:r w:rsidRPr="00132E23">
              <w:rPr>
                <w:bCs/>
                <w:sz w:val="20"/>
              </w:rPr>
              <w:t>Tel. 8 698 42185</w:t>
            </w:r>
            <w:r w:rsidR="00F07151" w:rsidRPr="00132E23">
              <w:rPr>
                <w:bCs/>
                <w:sz w:val="20"/>
              </w:rPr>
              <w:t xml:space="preserve">, </w:t>
            </w:r>
          </w:p>
          <w:p w14:paraId="300817B5" w14:textId="02AABAE9" w:rsidR="003126D8" w:rsidRPr="00132E23" w:rsidRDefault="00317F95" w:rsidP="00D03A57">
            <w:pPr>
              <w:widowControl w:val="0"/>
              <w:jc w:val="both"/>
              <w:rPr>
                <w:sz w:val="20"/>
              </w:rPr>
            </w:pPr>
            <w:r w:rsidRPr="00132E23">
              <w:rPr>
                <w:bCs/>
                <w:sz w:val="20"/>
              </w:rPr>
              <w:t xml:space="preserve">El. p. </w:t>
            </w:r>
            <w:proofErr w:type="spellStart"/>
            <w:r w:rsidRPr="00132E23">
              <w:rPr>
                <w:bCs/>
                <w:sz w:val="20"/>
              </w:rPr>
              <w:t>Povilas.Kriauceliunas@eimin.lt</w:t>
            </w:r>
            <w:proofErr w:type="spellEnd"/>
            <w:r w:rsidR="00F07151" w:rsidRPr="00132E23">
              <w:rPr>
                <w:bCs/>
                <w:sz w:val="20"/>
              </w:rPr>
              <w:t>).</w:t>
            </w:r>
          </w:p>
        </w:tc>
      </w:tr>
      <w:tr w:rsidR="001F3DF8" w:rsidRPr="0000772A" w14:paraId="4D9FBFC4" w14:textId="77777777" w:rsidTr="006D192F">
        <w:tc>
          <w:tcPr>
            <w:tcW w:w="279" w:type="pct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7609" w14:textId="0CABEF84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>1</w:t>
            </w:r>
            <w:r w:rsidR="00510391" w:rsidRPr="00132E23">
              <w:rPr>
                <w:sz w:val="20"/>
              </w:rPr>
              <w:t>5</w:t>
            </w:r>
            <w:r w:rsidRPr="00132E23">
              <w:rPr>
                <w:sz w:val="20"/>
              </w:rPr>
              <w:t>.</w:t>
            </w:r>
          </w:p>
        </w:tc>
        <w:tc>
          <w:tcPr>
            <w:tcW w:w="221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1C6C" w14:textId="0F547AA4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132E23">
              <w:rPr>
                <w:sz w:val="20"/>
              </w:rPr>
              <w:t xml:space="preserve">Kita svarbi informacija </w:t>
            </w:r>
          </w:p>
          <w:p w14:paraId="77E43D50" w14:textId="7E7395E9" w:rsidR="001F3DF8" w:rsidRPr="00132E23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50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1D5A" w14:textId="3135DCE9" w:rsidR="001F3DF8" w:rsidRPr="00132E23" w:rsidRDefault="00BC26F0" w:rsidP="00CF5E6B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132E23">
              <w:rPr>
                <w:noProof/>
                <w:color w:val="000000"/>
                <w:sz w:val="20"/>
                <w:lang w:eastAsia="en-IE"/>
              </w:rPr>
              <w:t>Šis rodiklis yra 2021-2027 IP rezultato nacionalinis rodiklis</w:t>
            </w:r>
            <w:r w:rsidR="00D03A57" w:rsidRPr="00132E23">
              <w:rPr>
                <w:sz w:val="20"/>
              </w:rPr>
              <w:t xml:space="preserve"> </w:t>
            </w:r>
            <w:r w:rsidR="00916E07" w:rsidRPr="00132E23">
              <w:rPr>
                <w:sz w:val="20"/>
              </w:rPr>
              <w:t>(</w:t>
            </w:r>
            <w:r w:rsidR="00D03A57" w:rsidRPr="00132E23">
              <w:rPr>
                <w:noProof/>
                <w:color w:val="000000"/>
                <w:sz w:val="20"/>
                <w:lang w:eastAsia="en-IE"/>
              </w:rPr>
              <w:t>R.N.2. 5640</w:t>
            </w:r>
            <w:r w:rsidR="00916E07" w:rsidRPr="00132E23">
              <w:rPr>
                <w:noProof/>
                <w:color w:val="000000"/>
                <w:sz w:val="20"/>
                <w:lang w:eastAsia="en-IE"/>
              </w:rPr>
              <w:t>)</w:t>
            </w:r>
          </w:p>
        </w:tc>
      </w:tr>
    </w:tbl>
    <w:p w14:paraId="7A8063AA" w14:textId="44201041" w:rsidR="00012C79" w:rsidRPr="00081746" w:rsidRDefault="001E5D41" w:rsidP="00081746">
      <w:pPr>
        <w:spacing w:line="300" w:lineRule="atLeast"/>
        <w:ind w:firstLine="709"/>
        <w:jc w:val="center"/>
        <w:rPr>
          <w:bCs/>
          <w:color w:val="000000"/>
          <w:szCs w:val="24"/>
        </w:rPr>
      </w:pPr>
      <w:r w:rsidRPr="0000772A">
        <w:rPr>
          <w:bCs/>
          <w:color w:val="000000"/>
          <w:szCs w:val="24"/>
        </w:rPr>
        <w:t>___________________________________</w:t>
      </w:r>
    </w:p>
    <w:sectPr w:rsidR="00012C79" w:rsidRPr="00081746" w:rsidSect="003C449A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D284" w14:textId="77777777" w:rsidR="009B67B6" w:rsidRDefault="009B67B6" w:rsidP="00A40754">
      <w:r>
        <w:separator/>
      </w:r>
    </w:p>
  </w:endnote>
  <w:endnote w:type="continuationSeparator" w:id="0">
    <w:p w14:paraId="04507F74" w14:textId="77777777" w:rsidR="009B67B6" w:rsidRDefault="009B67B6" w:rsidP="00A40754">
      <w:r>
        <w:continuationSeparator/>
      </w:r>
    </w:p>
  </w:endnote>
  <w:endnote w:type="continuationNotice" w:id="1">
    <w:p w14:paraId="7DB99BFB" w14:textId="77777777" w:rsidR="009B67B6" w:rsidRDefault="009B6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3B6" w14:textId="77777777" w:rsidR="00A40754" w:rsidRDefault="00A40754">
    <w:pPr>
      <w:pStyle w:val="Porat"/>
      <w:jc w:val="center"/>
    </w:pPr>
  </w:p>
  <w:p w14:paraId="7A8063B7" w14:textId="77777777" w:rsidR="00A40754" w:rsidRDefault="00A407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2C47" w14:textId="77777777" w:rsidR="009B67B6" w:rsidRDefault="009B67B6" w:rsidP="00A40754">
      <w:r>
        <w:separator/>
      </w:r>
    </w:p>
  </w:footnote>
  <w:footnote w:type="continuationSeparator" w:id="0">
    <w:p w14:paraId="5D1AF4E6" w14:textId="77777777" w:rsidR="009B67B6" w:rsidRDefault="009B67B6" w:rsidP="00A40754">
      <w:r>
        <w:continuationSeparator/>
      </w:r>
    </w:p>
  </w:footnote>
  <w:footnote w:type="continuationNotice" w:id="1">
    <w:p w14:paraId="0EBC8890" w14:textId="77777777" w:rsidR="009B67B6" w:rsidRDefault="009B6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4796"/>
      <w:docPartObj>
        <w:docPartGallery w:val="Page Numbers (Top of Page)"/>
        <w:docPartUnique/>
      </w:docPartObj>
    </w:sdtPr>
    <w:sdtEndPr/>
    <w:sdtContent>
      <w:p w14:paraId="7A8063B3" w14:textId="3615500F" w:rsidR="00A40754" w:rsidRDefault="003725CD">
        <w:pPr>
          <w:pStyle w:val="Antrats"/>
          <w:jc w:val="center"/>
        </w:pPr>
        <w:r>
          <w:fldChar w:fldCharType="begin"/>
        </w:r>
        <w:r w:rsidR="00A40754">
          <w:instrText>PAGE   \* MERGEFORMAT</w:instrText>
        </w:r>
        <w:r>
          <w:fldChar w:fldCharType="separate"/>
        </w:r>
        <w:r w:rsidR="000F66EE">
          <w:rPr>
            <w:noProof/>
          </w:rPr>
          <w:t>1</w:t>
        </w:r>
        <w:r>
          <w:fldChar w:fldCharType="end"/>
        </w:r>
      </w:p>
    </w:sdtContent>
  </w:sdt>
  <w:p w14:paraId="7A8063B4" w14:textId="77777777" w:rsidR="00A40754" w:rsidRDefault="00A40754">
    <w:pPr>
      <w:pStyle w:val="Antrats"/>
    </w:pPr>
  </w:p>
  <w:p w14:paraId="3A441C09" w14:textId="77777777" w:rsidR="003C449A" w:rsidRPr="003C449A" w:rsidRDefault="003C449A" w:rsidP="003C449A">
    <w:pPr>
      <w:pStyle w:val="Antrats"/>
      <w:jc w:val="right"/>
      <w:rPr>
        <w:sz w:val="22"/>
        <w:szCs w:val="22"/>
      </w:rPr>
    </w:pPr>
  </w:p>
  <w:p w14:paraId="13771163" w14:textId="77777777" w:rsidR="003C449A" w:rsidRDefault="003C44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AD35" w14:textId="6B504F25" w:rsidR="003C449A" w:rsidRDefault="003C449A" w:rsidP="003C449A">
    <w:pPr>
      <w:pStyle w:val="Antrats"/>
      <w:ind w:left="6480"/>
    </w:pPr>
    <w:r>
      <w:t>Strateginio valdymo metodikos</w:t>
    </w:r>
  </w:p>
  <w:p w14:paraId="0889849B" w14:textId="1D0887D9" w:rsidR="003C449A" w:rsidRPr="003C449A" w:rsidRDefault="003C449A" w:rsidP="003C449A">
    <w:pPr>
      <w:pStyle w:val="Antrats"/>
      <w:ind w:left="6480"/>
      <w:rPr>
        <w:lang w:val="en-US"/>
      </w:rPr>
    </w:pPr>
    <w: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999"/>
    <w:multiLevelType w:val="hybridMultilevel"/>
    <w:tmpl w:val="27DA1A8A"/>
    <w:lvl w:ilvl="0" w:tplc="43D23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F"/>
    <w:rsid w:val="00003AC6"/>
    <w:rsid w:val="00006067"/>
    <w:rsid w:val="0000772A"/>
    <w:rsid w:val="000102E7"/>
    <w:rsid w:val="00012C79"/>
    <w:rsid w:val="0001396D"/>
    <w:rsid w:val="00015196"/>
    <w:rsid w:val="0001610B"/>
    <w:rsid w:val="000253D2"/>
    <w:rsid w:val="000345A2"/>
    <w:rsid w:val="0003709B"/>
    <w:rsid w:val="00046927"/>
    <w:rsid w:val="00051539"/>
    <w:rsid w:val="00054802"/>
    <w:rsid w:val="00055E24"/>
    <w:rsid w:val="00064DCD"/>
    <w:rsid w:val="0007347C"/>
    <w:rsid w:val="00081746"/>
    <w:rsid w:val="000821F2"/>
    <w:rsid w:val="000841FA"/>
    <w:rsid w:val="00087DE1"/>
    <w:rsid w:val="00093FDF"/>
    <w:rsid w:val="00097C46"/>
    <w:rsid w:val="000A1A64"/>
    <w:rsid w:val="000B5D09"/>
    <w:rsid w:val="000C3E53"/>
    <w:rsid w:val="000D12CA"/>
    <w:rsid w:val="000F66EE"/>
    <w:rsid w:val="00101E93"/>
    <w:rsid w:val="00105489"/>
    <w:rsid w:val="00110AE2"/>
    <w:rsid w:val="00120AB0"/>
    <w:rsid w:val="00127CC0"/>
    <w:rsid w:val="001305EC"/>
    <w:rsid w:val="00132E23"/>
    <w:rsid w:val="001353A4"/>
    <w:rsid w:val="00141191"/>
    <w:rsid w:val="00142920"/>
    <w:rsid w:val="00146CE8"/>
    <w:rsid w:val="00154CD6"/>
    <w:rsid w:val="001636D1"/>
    <w:rsid w:val="0019585B"/>
    <w:rsid w:val="001A1411"/>
    <w:rsid w:val="001A35AB"/>
    <w:rsid w:val="001C196E"/>
    <w:rsid w:val="001D1BBA"/>
    <w:rsid w:val="001E4C68"/>
    <w:rsid w:val="001E5D41"/>
    <w:rsid w:val="001F2CFC"/>
    <w:rsid w:val="001F3DF8"/>
    <w:rsid w:val="00201AFC"/>
    <w:rsid w:val="00206E68"/>
    <w:rsid w:val="002169D1"/>
    <w:rsid w:val="00231D50"/>
    <w:rsid w:val="00241107"/>
    <w:rsid w:val="00246111"/>
    <w:rsid w:val="00254635"/>
    <w:rsid w:val="002549F6"/>
    <w:rsid w:val="00267B58"/>
    <w:rsid w:val="002821F3"/>
    <w:rsid w:val="00294793"/>
    <w:rsid w:val="00295822"/>
    <w:rsid w:val="00296622"/>
    <w:rsid w:val="002A12F8"/>
    <w:rsid w:val="002A5AB3"/>
    <w:rsid w:val="002B516B"/>
    <w:rsid w:val="002C1E66"/>
    <w:rsid w:val="002C56AA"/>
    <w:rsid w:val="002D1B7A"/>
    <w:rsid w:val="002D2063"/>
    <w:rsid w:val="002D7AEC"/>
    <w:rsid w:val="003022D3"/>
    <w:rsid w:val="00303B29"/>
    <w:rsid w:val="00305451"/>
    <w:rsid w:val="00307743"/>
    <w:rsid w:val="00310463"/>
    <w:rsid w:val="003126D8"/>
    <w:rsid w:val="00317F95"/>
    <w:rsid w:val="00321AB1"/>
    <w:rsid w:val="00345D90"/>
    <w:rsid w:val="003467F8"/>
    <w:rsid w:val="003533A5"/>
    <w:rsid w:val="00362C41"/>
    <w:rsid w:val="00366E85"/>
    <w:rsid w:val="003725CD"/>
    <w:rsid w:val="0037461C"/>
    <w:rsid w:val="003844F3"/>
    <w:rsid w:val="00384730"/>
    <w:rsid w:val="0038714B"/>
    <w:rsid w:val="00387701"/>
    <w:rsid w:val="003A066B"/>
    <w:rsid w:val="003A2B43"/>
    <w:rsid w:val="003A6D16"/>
    <w:rsid w:val="003B2E9E"/>
    <w:rsid w:val="003B7206"/>
    <w:rsid w:val="003C0EEF"/>
    <w:rsid w:val="003C449A"/>
    <w:rsid w:val="003C5181"/>
    <w:rsid w:val="003C5AFA"/>
    <w:rsid w:val="003C7957"/>
    <w:rsid w:val="003D0505"/>
    <w:rsid w:val="003D4B19"/>
    <w:rsid w:val="003D7029"/>
    <w:rsid w:val="003E0B30"/>
    <w:rsid w:val="003F0A54"/>
    <w:rsid w:val="003F38F5"/>
    <w:rsid w:val="00401FDB"/>
    <w:rsid w:val="00433806"/>
    <w:rsid w:val="00434BAB"/>
    <w:rsid w:val="004477B0"/>
    <w:rsid w:val="00466385"/>
    <w:rsid w:val="004725A0"/>
    <w:rsid w:val="0049447B"/>
    <w:rsid w:val="004C144B"/>
    <w:rsid w:val="004C5F86"/>
    <w:rsid w:val="004C7BC1"/>
    <w:rsid w:val="004E12C2"/>
    <w:rsid w:val="004E37E5"/>
    <w:rsid w:val="004E7E37"/>
    <w:rsid w:val="004F08EC"/>
    <w:rsid w:val="004F5A30"/>
    <w:rsid w:val="00510391"/>
    <w:rsid w:val="00521B8B"/>
    <w:rsid w:val="005324BF"/>
    <w:rsid w:val="00533981"/>
    <w:rsid w:val="00533C7F"/>
    <w:rsid w:val="00533CBD"/>
    <w:rsid w:val="00535B69"/>
    <w:rsid w:val="00541DDF"/>
    <w:rsid w:val="00543697"/>
    <w:rsid w:val="00546E4B"/>
    <w:rsid w:val="00547836"/>
    <w:rsid w:val="005508EF"/>
    <w:rsid w:val="00550CC6"/>
    <w:rsid w:val="005511D5"/>
    <w:rsid w:val="00552B6D"/>
    <w:rsid w:val="00555864"/>
    <w:rsid w:val="00555D88"/>
    <w:rsid w:val="00556C76"/>
    <w:rsid w:val="00561C59"/>
    <w:rsid w:val="0056224A"/>
    <w:rsid w:val="0057218B"/>
    <w:rsid w:val="00572886"/>
    <w:rsid w:val="00584485"/>
    <w:rsid w:val="005A61B7"/>
    <w:rsid w:val="005A6911"/>
    <w:rsid w:val="005A7787"/>
    <w:rsid w:val="005B6917"/>
    <w:rsid w:val="005C3745"/>
    <w:rsid w:val="005C56B4"/>
    <w:rsid w:val="005E02B3"/>
    <w:rsid w:val="005E0F1E"/>
    <w:rsid w:val="005E27DD"/>
    <w:rsid w:val="005E573C"/>
    <w:rsid w:val="005F06E0"/>
    <w:rsid w:val="0061310D"/>
    <w:rsid w:val="0062427D"/>
    <w:rsid w:val="00634FE3"/>
    <w:rsid w:val="00640AA4"/>
    <w:rsid w:val="0064729B"/>
    <w:rsid w:val="006505A4"/>
    <w:rsid w:val="00651041"/>
    <w:rsid w:val="00652360"/>
    <w:rsid w:val="0065340D"/>
    <w:rsid w:val="00661B13"/>
    <w:rsid w:val="00662BF0"/>
    <w:rsid w:val="00667913"/>
    <w:rsid w:val="00677157"/>
    <w:rsid w:val="00684035"/>
    <w:rsid w:val="0069221D"/>
    <w:rsid w:val="006A5D30"/>
    <w:rsid w:val="006A67FE"/>
    <w:rsid w:val="006C7566"/>
    <w:rsid w:val="006C7AB2"/>
    <w:rsid w:val="006D192F"/>
    <w:rsid w:val="006E08AE"/>
    <w:rsid w:val="006E2B8E"/>
    <w:rsid w:val="006E453B"/>
    <w:rsid w:val="006E54F6"/>
    <w:rsid w:val="006F1DDF"/>
    <w:rsid w:val="006F210F"/>
    <w:rsid w:val="0070011E"/>
    <w:rsid w:val="00702873"/>
    <w:rsid w:val="00711220"/>
    <w:rsid w:val="007119F5"/>
    <w:rsid w:val="0072064C"/>
    <w:rsid w:val="00721B47"/>
    <w:rsid w:val="00722D6E"/>
    <w:rsid w:val="00727757"/>
    <w:rsid w:val="0073417D"/>
    <w:rsid w:val="00743875"/>
    <w:rsid w:val="00746E87"/>
    <w:rsid w:val="0077587A"/>
    <w:rsid w:val="0078570E"/>
    <w:rsid w:val="00795938"/>
    <w:rsid w:val="0079786B"/>
    <w:rsid w:val="007A21B2"/>
    <w:rsid w:val="007B6448"/>
    <w:rsid w:val="007B7695"/>
    <w:rsid w:val="007D1483"/>
    <w:rsid w:val="007D32FF"/>
    <w:rsid w:val="007D70E8"/>
    <w:rsid w:val="007E1D56"/>
    <w:rsid w:val="007F7901"/>
    <w:rsid w:val="00800E5A"/>
    <w:rsid w:val="00802A1B"/>
    <w:rsid w:val="00807560"/>
    <w:rsid w:val="00812B67"/>
    <w:rsid w:val="008130FB"/>
    <w:rsid w:val="00815D01"/>
    <w:rsid w:val="0082078D"/>
    <w:rsid w:val="0082426D"/>
    <w:rsid w:val="00827845"/>
    <w:rsid w:val="00831626"/>
    <w:rsid w:val="00833ACC"/>
    <w:rsid w:val="00835DDC"/>
    <w:rsid w:val="00843304"/>
    <w:rsid w:val="00885D2A"/>
    <w:rsid w:val="008A6375"/>
    <w:rsid w:val="008C403A"/>
    <w:rsid w:val="008C4CC4"/>
    <w:rsid w:val="008D4901"/>
    <w:rsid w:val="00900D19"/>
    <w:rsid w:val="009034AF"/>
    <w:rsid w:val="00915DA6"/>
    <w:rsid w:val="00916E07"/>
    <w:rsid w:val="00917C39"/>
    <w:rsid w:val="0092050A"/>
    <w:rsid w:val="00930AC2"/>
    <w:rsid w:val="0094036F"/>
    <w:rsid w:val="00943CAB"/>
    <w:rsid w:val="00950073"/>
    <w:rsid w:val="00950226"/>
    <w:rsid w:val="00955FE6"/>
    <w:rsid w:val="00962D5E"/>
    <w:rsid w:val="00967BDC"/>
    <w:rsid w:val="009761C9"/>
    <w:rsid w:val="00981B67"/>
    <w:rsid w:val="00986060"/>
    <w:rsid w:val="009B28CE"/>
    <w:rsid w:val="009B61A5"/>
    <w:rsid w:val="009B67B6"/>
    <w:rsid w:val="009B68CB"/>
    <w:rsid w:val="009C515B"/>
    <w:rsid w:val="009E063B"/>
    <w:rsid w:val="009E5651"/>
    <w:rsid w:val="009F6BEE"/>
    <w:rsid w:val="009F7BCD"/>
    <w:rsid w:val="00A04A11"/>
    <w:rsid w:val="00A0718D"/>
    <w:rsid w:val="00A165F8"/>
    <w:rsid w:val="00A20A55"/>
    <w:rsid w:val="00A254A4"/>
    <w:rsid w:val="00A27EC8"/>
    <w:rsid w:val="00A37B30"/>
    <w:rsid w:val="00A40754"/>
    <w:rsid w:val="00A43C6F"/>
    <w:rsid w:val="00A72C7D"/>
    <w:rsid w:val="00A7541F"/>
    <w:rsid w:val="00A92BFF"/>
    <w:rsid w:val="00A942A2"/>
    <w:rsid w:val="00AA30DD"/>
    <w:rsid w:val="00AB19B9"/>
    <w:rsid w:val="00AB63F7"/>
    <w:rsid w:val="00AC18AF"/>
    <w:rsid w:val="00AC5FA2"/>
    <w:rsid w:val="00AD2BB9"/>
    <w:rsid w:val="00AE340F"/>
    <w:rsid w:val="00B019AF"/>
    <w:rsid w:val="00B0681D"/>
    <w:rsid w:val="00B30F78"/>
    <w:rsid w:val="00B333BF"/>
    <w:rsid w:val="00B41F64"/>
    <w:rsid w:val="00B433C7"/>
    <w:rsid w:val="00B47B24"/>
    <w:rsid w:val="00B626C3"/>
    <w:rsid w:val="00B7721B"/>
    <w:rsid w:val="00B82AEC"/>
    <w:rsid w:val="00B85467"/>
    <w:rsid w:val="00B935F0"/>
    <w:rsid w:val="00B96DA0"/>
    <w:rsid w:val="00B977B3"/>
    <w:rsid w:val="00BA0387"/>
    <w:rsid w:val="00BA0F05"/>
    <w:rsid w:val="00BA67AF"/>
    <w:rsid w:val="00BA67D2"/>
    <w:rsid w:val="00BB0D54"/>
    <w:rsid w:val="00BB1B4E"/>
    <w:rsid w:val="00BB4DE2"/>
    <w:rsid w:val="00BC26F0"/>
    <w:rsid w:val="00BC3BC4"/>
    <w:rsid w:val="00BC5795"/>
    <w:rsid w:val="00BE646A"/>
    <w:rsid w:val="00BF498C"/>
    <w:rsid w:val="00BF6F9B"/>
    <w:rsid w:val="00BF7443"/>
    <w:rsid w:val="00C206A7"/>
    <w:rsid w:val="00C3128D"/>
    <w:rsid w:val="00C42707"/>
    <w:rsid w:val="00C639B0"/>
    <w:rsid w:val="00C66E19"/>
    <w:rsid w:val="00C71D7A"/>
    <w:rsid w:val="00C817F9"/>
    <w:rsid w:val="00C8196F"/>
    <w:rsid w:val="00C9206E"/>
    <w:rsid w:val="00CA0725"/>
    <w:rsid w:val="00CA770F"/>
    <w:rsid w:val="00CD25E1"/>
    <w:rsid w:val="00CD36C5"/>
    <w:rsid w:val="00CD36F4"/>
    <w:rsid w:val="00CE2379"/>
    <w:rsid w:val="00CE47A5"/>
    <w:rsid w:val="00CE7143"/>
    <w:rsid w:val="00CF328E"/>
    <w:rsid w:val="00CF50ED"/>
    <w:rsid w:val="00CF5E6B"/>
    <w:rsid w:val="00D03A57"/>
    <w:rsid w:val="00D04060"/>
    <w:rsid w:val="00D156E3"/>
    <w:rsid w:val="00D218A7"/>
    <w:rsid w:val="00D25853"/>
    <w:rsid w:val="00D30EB1"/>
    <w:rsid w:val="00D32672"/>
    <w:rsid w:val="00D35B29"/>
    <w:rsid w:val="00D46D8A"/>
    <w:rsid w:val="00D53E4A"/>
    <w:rsid w:val="00D542B9"/>
    <w:rsid w:val="00D63628"/>
    <w:rsid w:val="00D77478"/>
    <w:rsid w:val="00D77655"/>
    <w:rsid w:val="00D978C2"/>
    <w:rsid w:val="00DA1E6A"/>
    <w:rsid w:val="00DD3EDD"/>
    <w:rsid w:val="00DE50CA"/>
    <w:rsid w:val="00DF534B"/>
    <w:rsid w:val="00DF7548"/>
    <w:rsid w:val="00E00923"/>
    <w:rsid w:val="00E018C0"/>
    <w:rsid w:val="00E03DC7"/>
    <w:rsid w:val="00E07CA5"/>
    <w:rsid w:val="00E15758"/>
    <w:rsid w:val="00E15866"/>
    <w:rsid w:val="00E15E1D"/>
    <w:rsid w:val="00E2286B"/>
    <w:rsid w:val="00E2799F"/>
    <w:rsid w:val="00E303B7"/>
    <w:rsid w:val="00E547FC"/>
    <w:rsid w:val="00E54AB9"/>
    <w:rsid w:val="00E5762E"/>
    <w:rsid w:val="00E70B7C"/>
    <w:rsid w:val="00E74C46"/>
    <w:rsid w:val="00E75327"/>
    <w:rsid w:val="00E935E4"/>
    <w:rsid w:val="00E93E3F"/>
    <w:rsid w:val="00E95B1A"/>
    <w:rsid w:val="00E96436"/>
    <w:rsid w:val="00EB134B"/>
    <w:rsid w:val="00EB1EFC"/>
    <w:rsid w:val="00ED1D59"/>
    <w:rsid w:val="00ED222B"/>
    <w:rsid w:val="00ED4775"/>
    <w:rsid w:val="00ED704D"/>
    <w:rsid w:val="00EE6940"/>
    <w:rsid w:val="00F04E01"/>
    <w:rsid w:val="00F06C30"/>
    <w:rsid w:val="00F07151"/>
    <w:rsid w:val="00F1592D"/>
    <w:rsid w:val="00F15B07"/>
    <w:rsid w:val="00F17899"/>
    <w:rsid w:val="00F208A8"/>
    <w:rsid w:val="00F26650"/>
    <w:rsid w:val="00F30637"/>
    <w:rsid w:val="00F32252"/>
    <w:rsid w:val="00F32766"/>
    <w:rsid w:val="00F5256F"/>
    <w:rsid w:val="00F57F04"/>
    <w:rsid w:val="00F61C55"/>
    <w:rsid w:val="00F6580B"/>
    <w:rsid w:val="00FA3DEA"/>
    <w:rsid w:val="00FA596B"/>
    <w:rsid w:val="00FA7C8A"/>
    <w:rsid w:val="00FB7709"/>
    <w:rsid w:val="00FD0E2E"/>
    <w:rsid w:val="00FD7F47"/>
    <w:rsid w:val="00FF5CCA"/>
    <w:rsid w:val="00FF64F9"/>
    <w:rsid w:val="05A19939"/>
    <w:rsid w:val="08629316"/>
    <w:rsid w:val="15B21A7D"/>
    <w:rsid w:val="32D7E0A9"/>
    <w:rsid w:val="552F555F"/>
    <w:rsid w:val="656B33F8"/>
    <w:rsid w:val="6FA8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630C"/>
  <w15:docId w15:val="{69E1C5EE-39EA-41C7-B26C-994A0520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1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1B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semiHidden/>
    <w:rsid w:val="00BE646A"/>
    <w:rPr>
      <w:color w:val="0000FF"/>
      <w:u w:val="single"/>
    </w:r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0821F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Numatytasispastraiposriftas"/>
    <w:uiPriority w:val="99"/>
    <w:semiHidden/>
    <w:rsid w:val="000821F2"/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rsid w:val="000821F2"/>
    <w:rPr>
      <w:sz w:val="20"/>
      <w:szCs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0821F2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082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2BF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2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B19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40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1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F7A4BFAD-1816-4618-AC1C-DDFD3A77F765}"/>
</file>

<file path=customXml/itemProps2.xml><?xml version="1.0" encoding="utf-8"?>
<ds:datastoreItem xmlns:ds="http://schemas.openxmlformats.org/officeDocument/2006/customXml" ds:itemID="{E3202C4A-6949-47DF-B350-32441FC06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22687-1A99-431E-BCD5-3713A43C6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E66EA-3063-4A6F-9CD5-EA22DBEBFE13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k.marceliene</dc:creator>
  <cp:keywords/>
  <cp:lastModifiedBy>Vilija Riškienė</cp:lastModifiedBy>
  <cp:revision>8</cp:revision>
  <dcterms:created xsi:type="dcterms:W3CDTF">2022-12-06T20:21:00Z</dcterms:created>
  <dcterms:modified xsi:type="dcterms:W3CDTF">2022-12-12T08:34:00Z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