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F9EFB" w14:textId="596FA141" w:rsidR="007841D5" w:rsidRDefault="007841D5" w:rsidP="007841D5">
      <w:pPr>
        <w:jc w:val="center"/>
        <w:rPr>
          <w:b/>
          <w:szCs w:val="24"/>
          <w:lang w:eastAsia="lt-LT"/>
        </w:rPr>
      </w:pPr>
      <w:r>
        <w:rPr>
          <w:b/>
          <w:szCs w:val="24"/>
          <w:lang w:eastAsia="lt-LT"/>
        </w:rPr>
        <w:t>KVIETIM</w:t>
      </w:r>
      <w:r>
        <w:rPr>
          <w:b/>
          <w:szCs w:val="24"/>
          <w:lang w:eastAsia="lt-LT"/>
        </w:rPr>
        <w:t>O</w:t>
      </w:r>
      <w:r>
        <w:rPr>
          <w:b/>
          <w:szCs w:val="24"/>
          <w:lang w:eastAsia="lt-LT"/>
        </w:rPr>
        <w:t xml:space="preserve"> „LAZERINIS SPRENDIMAS GYNYBOS PAJĖGUMUI STIPRINTI“</w:t>
      </w:r>
    </w:p>
    <w:p w14:paraId="11503482" w14:textId="0D17A3BE" w:rsidR="007841D5" w:rsidRDefault="007841D5" w:rsidP="007841D5">
      <w:pPr>
        <w:jc w:val="center"/>
        <w:rPr>
          <w:b/>
          <w:szCs w:val="24"/>
          <w:lang w:eastAsia="lt-LT"/>
        </w:rPr>
      </w:pPr>
      <w:r>
        <w:rPr>
          <w:b/>
          <w:szCs w:val="24"/>
          <w:lang w:eastAsia="lt-LT"/>
        </w:rPr>
        <w:t>TECHNINĖ UŽDUOTIS</w:t>
      </w:r>
    </w:p>
    <w:p w14:paraId="156EDF0D" w14:textId="77777777" w:rsidR="007841D5" w:rsidRDefault="007841D5" w:rsidP="007841D5">
      <w:pPr>
        <w:jc w:val="center"/>
        <w:rPr>
          <w:b/>
          <w:szCs w:val="24"/>
          <w:lang w:eastAsia="lt-LT"/>
        </w:rPr>
      </w:pPr>
    </w:p>
    <w:p w14:paraId="7F40E549" w14:textId="77777777" w:rsidR="007841D5" w:rsidRDefault="007841D5"/>
    <w:p w14:paraId="2E9C46A9" w14:textId="77777777" w:rsidR="007841D5" w:rsidRDefault="007841D5"/>
    <w:tbl>
      <w:tblPr>
        <w:tblStyle w:val="TableGrid"/>
        <w:tblW w:w="9628" w:type="dxa"/>
        <w:tblLayout w:type="fixed"/>
        <w:tblLook w:val="04A0" w:firstRow="1" w:lastRow="0" w:firstColumn="1" w:lastColumn="0" w:noHBand="0" w:noVBand="1"/>
      </w:tblPr>
      <w:tblGrid>
        <w:gridCol w:w="2262"/>
        <w:gridCol w:w="7366"/>
      </w:tblGrid>
      <w:tr w:rsidR="007841D5" w14:paraId="2155A371" w14:textId="77777777" w:rsidTr="007841D5">
        <w:tc>
          <w:tcPr>
            <w:tcW w:w="2262" w:type="dxa"/>
          </w:tcPr>
          <w:p w14:paraId="23E648F0" w14:textId="77777777" w:rsidR="007841D5" w:rsidRDefault="007841D5" w:rsidP="00663242">
            <w:pPr>
              <w:jc w:val="both"/>
              <w:rPr>
                <w:b/>
                <w:szCs w:val="24"/>
                <w:lang w:eastAsia="lt-LT"/>
              </w:rPr>
            </w:pPr>
            <w:r>
              <w:rPr>
                <w:b/>
                <w:szCs w:val="24"/>
                <w:lang w:eastAsia="lt-LT"/>
              </w:rPr>
              <w:t>Kvietimo temos aprašymas (techninė užduotis)</w:t>
            </w:r>
          </w:p>
        </w:tc>
        <w:tc>
          <w:tcPr>
            <w:tcW w:w="7366" w:type="dxa"/>
          </w:tcPr>
          <w:p w14:paraId="5488E6F8" w14:textId="77777777" w:rsidR="007841D5" w:rsidRDefault="007841D5" w:rsidP="00663242">
            <w:pPr>
              <w:jc w:val="both"/>
              <w:rPr>
                <w:szCs w:val="24"/>
                <w:lang w:eastAsia="lt-LT"/>
              </w:rPr>
            </w:pPr>
            <w:r>
              <w:rPr>
                <w:szCs w:val="24"/>
                <w:lang w:eastAsia="lt-LT"/>
              </w:rPr>
              <w:t>Šis kvietimas yra skirtas paskatinti Lietuvos mokslo ir verslo bendruomenes kurti ir tobulinti lazerines technologijas, kurios būtų tiesiogiai pritaikomos gynybos srityje. Tikslas – sukurti sprendimus, kurie galėtų būti naudojami įvairiose gynybos operacijose, įskaitant grėsmių aptikimą, neutralizavimą ar sunaikinimą. Šiuo projektu skatinama sukurti aukštųjų technologijų produktus, kurie galėtų pagerinti Lietuvos kariuomenės gynybos pajėgumus, ypač ten, kur reikalingas didelis tikslumas, greitis ir efektyvumas. Sprendimai turėtų būti inovatyvūs, turintys potencialą iš esmės pakeisti esamas technologijas ar metodikas gynybos srityje, saugūs naudotojui, taip pat turi būti suderinami su NATO standartais arba paremti virsmo technologijomis, kurios galėtų suteikti reikšmingą pranašumą mūšio lauke.</w:t>
            </w:r>
          </w:p>
          <w:p w14:paraId="23119262" w14:textId="77777777" w:rsidR="007841D5" w:rsidRDefault="007841D5" w:rsidP="00663242">
            <w:pPr>
              <w:jc w:val="both"/>
              <w:rPr>
                <w:szCs w:val="24"/>
                <w:lang w:eastAsia="lt-LT"/>
              </w:rPr>
            </w:pPr>
          </w:p>
          <w:p w14:paraId="74298EB8" w14:textId="77777777" w:rsidR="007841D5" w:rsidRDefault="007841D5" w:rsidP="00663242">
            <w:pPr>
              <w:jc w:val="both"/>
              <w:rPr>
                <w:szCs w:val="24"/>
                <w:u w:val="single"/>
                <w:lang w:eastAsia="lt-LT"/>
              </w:rPr>
            </w:pPr>
            <w:r>
              <w:rPr>
                <w:szCs w:val="24"/>
                <w:u w:val="single"/>
                <w:lang w:eastAsia="lt-LT"/>
              </w:rPr>
              <w:t>Tikėtinas rezultatas</w:t>
            </w:r>
          </w:p>
          <w:p w14:paraId="79550FDE" w14:textId="77777777" w:rsidR="007841D5" w:rsidRDefault="007841D5" w:rsidP="00663242">
            <w:pPr>
              <w:jc w:val="both"/>
              <w:rPr>
                <w:szCs w:val="24"/>
                <w:lang w:eastAsia="lt-LT"/>
              </w:rPr>
            </w:pPr>
          </w:p>
          <w:p w14:paraId="4F4EAE8F" w14:textId="77777777" w:rsidR="007841D5" w:rsidRDefault="007841D5" w:rsidP="00663242">
            <w:pPr>
              <w:jc w:val="both"/>
              <w:rPr>
                <w:szCs w:val="24"/>
                <w:lang w:eastAsia="lt-LT"/>
              </w:rPr>
            </w:pPr>
            <w:r>
              <w:rPr>
                <w:szCs w:val="24"/>
                <w:lang w:eastAsia="lt-LT"/>
              </w:rPr>
              <w:t xml:space="preserve">Šios temos rezultatas turėtų būti sukurta naujoviška platforma, prietaisas arba įrenginys, kuris efektyviai integruotų lazerines technologijas į gynybos sistemą, reikšmingai sustiprindamas tiek elektroninės kovos, tiek antžeminės oro erdvės apsaugos, ar netiesioginės paramos ugnimi pajėgumus. Tokia sistema turėtų būti orientuota į pagrindinius gynybos iššūkius, kuriuose būtinas operatyvus reagavimas, didelis tikslumas ir didelė veikimo jėga. </w:t>
            </w:r>
            <w:r w:rsidRPr="006357EB">
              <w:rPr>
                <w:szCs w:val="24"/>
                <w:lang w:eastAsia="lt-LT"/>
              </w:rPr>
              <w:t xml:space="preserve">Lazerinės technologijos galėtų atlikti esminį vaidmenį dėl jų </w:t>
            </w:r>
            <w:r>
              <w:rPr>
                <w:szCs w:val="24"/>
                <w:lang w:eastAsia="lt-LT"/>
              </w:rPr>
              <w:t>galimo panaudojimo</w:t>
            </w:r>
            <w:r w:rsidRPr="006357EB">
              <w:rPr>
                <w:szCs w:val="24"/>
                <w:lang w:eastAsia="lt-LT"/>
              </w:rPr>
              <w:t xml:space="preserve"> </w:t>
            </w:r>
            <w:r>
              <w:rPr>
                <w:szCs w:val="24"/>
                <w:lang w:eastAsia="lt-LT"/>
              </w:rPr>
              <w:t>užtikrinant</w:t>
            </w:r>
            <w:r w:rsidRPr="006357EB">
              <w:rPr>
                <w:szCs w:val="24"/>
                <w:lang w:eastAsia="lt-LT"/>
              </w:rPr>
              <w:t xml:space="preserve"> </w:t>
            </w:r>
            <w:r>
              <w:rPr>
                <w:szCs w:val="24"/>
                <w:lang w:eastAsia="lt-LT"/>
              </w:rPr>
              <w:t>tikslų pozicionavimą ir neutralizavimą</w:t>
            </w:r>
            <w:r w:rsidRPr="006357EB">
              <w:rPr>
                <w:szCs w:val="24"/>
                <w:lang w:eastAsia="lt-LT"/>
              </w:rPr>
              <w:t>, pasižymint dideliu efektyvumu</w:t>
            </w:r>
            <w:r>
              <w:rPr>
                <w:szCs w:val="24"/>
                <w:lang w:eastAsia="lt-LT"/>
              </w:rPr>
              <w:t xml:space="preserve"> bei </w:t>
            </w:r>
            <w:r w:rsidRPr="006357EB">
              <w:rPr>
                <w:szCs w:val="24"/>
                <w:lang w:eastAsia="lt-LT"/>
              </w:rPr>
              <w:t>minimaliu šalutiniu poveikiu aplinkai. Tokia sistema galėtų</w:t>
            </w:r>
            <w:r>
              <w:rPr>
                <w:szCs w:val="24"/>
                <w:lang w:eastAsia="lt-LT"/>
              </w:rPr>
              <w:t xml:space="preserve"> veikti</w:t>
            </w:r>
            <w:r w:rsidRPr="006357EB">
              <w:rPr>
                <w:szCs w:val="24"/>
                <w:lang w:eastAsia="lt-LT"/>
              </w:rPr>
              <w:t xml:space="preserve"> </w:t>
            </w:r>
            <w:r>
              <w:rPr>
                <w:szCs w:val="24"/>
                <w:lang w:eastAsia="lt-LT"/>
              </w:rPr>
              <w:t>įvairiose spektrinėse srityse</w:t>
            </w:r>
            <w:r w:rsidRPr="006357EB">
              <w:rPr>
                <w:szCs w:val="24"/>
                <w:lang w:eastAsia="lt-LT"/>
              </w:rPr>
              <w:t xml:space="preserve">, kas leistų efektyviai reaguoti į </w:t>
            </w:r>
            <w:r>
              <w:rPr>
                <w:szCs w:val="24"/>
                <w:lang w:eastAsia="lt-LT"/>
              </w:rPr>
              <w:t>skirtingas</w:t>
            </w:r>
            <w:r w:rsidRPr="006357EB">
              <w:rPr>
                <w:szCs w:val="24"/>
                <w:lang w:eastAsia="lt-LT"/>
              </w:rPr>
              <w:t xml:space="preserve"> grėsmes ir aplinkos sąlygas.</w:t>
            </w:r>
          </w:p>
          <w:p w14:paraId="188B87FB" w14:textId="77777777" w:rsidR="007841D5" w:rsidRDefault="007841D5" w:rsidP="00663242">
            <w:pPr>
              <w:jc w:val="both"/>
              <w:rPr>
                <w:szCs w:val="24"/>
                <w:lang w:eastAsia="lt-LT"/>
              </w:rPr>
            </w:pPr>
          </w:p>
          <w:p w14:paraId="3BEC6E78" w14:textId="77777777" w:rsidR="007841D5" w:rsidRDefault="007841D5" w:rsidP="00663242">
            <w:pPr>
              <w:jc w:val="both"/>
              <w:rPr>
                <w:szCs w:val="24"/>
                <w:lang w:eastAsia="lt-LT"/>
              </w:rPr>
            </w:pPr>
            <w:r>
              <w:rPr>
                <w:szCs w:val="24"/>
                <w:lang w:eastAsia="lt-LT"/>
              </w:rPr>
              <w:t>Toks sprendimas turėtų apimti tiek techninius, tiek operacinius aspektus, kurie užtikrintų maksimalų lazerinių technologijų pranašumų panaudojimą. Techniniai parametrai turėtų apimti lazerinių sistemų projektavimą ir konstravimą ir pozicionavimą, užtikrinant jų veikimo patikimumą įvairiomis sąlygomis, įskaitant nepalankią aplinką (pvz.: aukšta temperatūra, dulkėtumas, didelė drėgmė) ir intensyvią operacinę apkrovą. Šie įrenginiai turėtų pasižymėti dideliu energijos tankiu, kuris leistų efektyviai vykdyti gynybos užduotis, pavyzdžiui, sunaikinti priešo optines, elektronines ar mechanines sistemas. Be to, lazerinių technologijų sprendimas turėtų būti suderinama su esamomis gynybos sistemomis, kad būtų galima sklandžiai integruoti naujus įrenginius į bendrą gynybos struktūrą.</w:t>
            </w:r>
          </w:p>
          <w:p w14:paraId="7856B39A" w14:textId="77777777" w:rsidR="007841D5" w:rsidRDefault="007841D5" w:rsidP="00663242">
            <w:pPr>
              <w:jc w:val="both"/>
              <w:rPr>
                <w:szCs w:val="24"/>
                <w:lang w:eastAsia="lt-LT"/>
              </w:rPr>
            </w:pPr>
          </w:p>
          <w:p w14:paraId="31351C1F" w14:textId="77777777" w:rsidR="007841D5" w:rsidRDefault="007841D5" w:rsidP="00663242">
            <w:pPr>
              <w:jc w:val="both"/>
              <w:rPr>
                <w:szCs w:val="24"/>
                <w:lang w:eastAsia="lt-LT"/>
              </w:rPr>
            </w:pPr>
            <w:r>
              <w:rPr>
                <w:szCs w:val="24"/>
                <w:lang w:eastAsia="lt-LT"/>
              </w:rPr>
              <w:t>Operaciniai aspektai turėtų būti susiję su šių technologijų taikymu realiame lauke, įskaitant personalo apmokymą, taktinio naudojimo strategijas ir integraciją į esamas gynybos doktrinas. Sprendimai</w:t>
            </w:r>
            <w:r w:rsidRPr="006357EB">
              <w:rPr>
                <w:szCs w:val="24"/>
                <w:lang w:eastAsia="lt-LT"/>
              </w:rPr>
              <w:t xml:space="preserve"> turėtų </w:t>
            </w:r>
            <w:r>
              <w:rPr>
                <w:szCs w:val="24"/>
                <w:lang w:eastAsia="lt-LT"/>
              </w:rPr>
              <w:t>būti</w:t>
            </w:r>
            <w:r w:rsidRPr="006357EB">
              <w:rPr>
                <w:szCs w:val="24"/>
                <w:lang w:eastAsia="lt-LT"/>
              </w:rPr>
              <w:t xml:space="preserve"> </w:t>
            </w:r>
            <w:r>
              <w:rPr>
                <w:szCs w:val="24"/>
                <w:lang w:eastAsia="lt-LT"/>
              </w:rPr>
              <w:t>pakankamai lankstūs pritaikant juos</w:t>
            </w:r>
            <w:r w:rsidRPr="006357EB">
              <w:rPr>
                <w:szCs w:val="24"/>
                <w:lang w:eastAsia="lt-LT"/>
              </w:rPr>
              <w:t xml:space="preserve"> įvairiuose scenarijuose, </w:t>
            </w:r>
            <w:r>
              <w:rPr>
                <w:szCs w:val="24"/>
                <w:lang w:eastAsia="lt-LT"/>
              </w:rPr>
              <w:t>nuo</w:t>
            </w:r>
            <w:r w:rsidRPr="006357EB">
              <w:rPr>
                <w:szCs w:val="24"/>
                <w:lang w:eastAsia="lt-LT"/>
              </w:rPr>
              <w:t xml:space="preserve"> </w:t>
            </w:r>
            <w:r>
              <w:rPr>
                <w:szCs w:val="24"/>
                <w:lang w:eastAsia="lt-LT"/>
              </w:rPr>
              <w:t>judančio</w:t>
            </w:r>
            <w:r w:rsidRPr="006357EB">
              <w:rPr>
                <w:szCs w:val="24"/>
                <w:lang w:eastAsia="lt-LT"/>
              </w:rPr>
              <w:t xml:space="preserve"> </w:t>
            </w:r>
            <w:r>
              <w:rPr>
                <w:szCs w:val="24"/>
                <w:lang w:eastAsia="lt-LT"/>
              </w:rPr>
              <w:t xml:space="preserve">taikinio aptikimo iki jo </w:t>
            </w:r>
            <w:r w:rsidRPr="006357EB">
              <w:rPr>
                <w:szCs w:val="24"/>
                <w:lang w:eastAsia="lt-LT"/>
              </w:rPr>
              <w:t>neutralizavim</w:t>
            </w:r>
            <w:r>
              <w:rPr>
                <w:szCs w:val="24"/>
                <w:lang w:eastAsia="lt-LT"/>
              </w:rPr>
              <w:t>o</w:t>
            </w:r>
            <w:r w:rsidRPr="006357EB">
              <w:rPr>
                <w:szCs w:val="24"/>
                <w:lang w:eastAsia="lt-LT"/>
              </w:rPr>
              <w:t xml:space="preserve"> įvairiomis aplinkos sąlygomis</w:t>
            </w:r>
            <w:r>
              <w:rPr>
                <w:szCs w:val="24"/>
                <w:lang w:eastAsia="lt-LT"/>
              </w:rPr>
              <w:t xml:space="preserve">. Taip pat </w:t>
            </w:r>
            <w:r>
              <w:rPr>
                <w:szCs w:val="24"/>
                <w:lang w:eastAsia="lt-LT"/>
              </w:rPr>
              <w:lastRenderedPageBreak/>
              <w:t>svarbu, kad šie sprendimai būtų saugūs naudotojui ir atitiktų NATO standartus, užtikrinant, kad jie galėtų būti naudojami tarptautinėse misijose ar bendradarbiaujant su sąjungininkų pajėgomis.</w:t>
            </w:r>
          </w:p>
          <w:p w14:paraId="5D84B0CB" w14:textId="77777777" w:rsidR="007841D5" w:rsidRDefault="007841D5" w:rsidP="00663242">
            <w:pPr>
              <w:jc w:val="both"/>
              <w:rPr>
                <w:szCs w:val="24"/>
                <w:lang w:eastAsia="lt-LT"/>
              </w:rPr>
            </w:pPr>
          </w:p>
          <w:p w14:paraId="467F4C4A" w14:textId="77777777" w:rsidR="007841D5" w:rsidRDefault="007841D5" w:rsidP="00663242">
            <w:pPr>
              <w:jc w:val="both"/>
              <w:rPr>
                <w:szCs w:val="24"/>
                <w:lang w:eastAsia="lt-LT"/>
              </w:rPr>
            </w:pPr>
            <w:r>
              <w:rPr>
                <w:szCs w:val="24"/>
                <w:lang w:eastAsia="lt-LT"/>
              </w:rPr>
              <w:t>Be to, siūlomas sprendimas gali būti paremtas virsmo technologijomis (</w:t>
            </w:r>
            <w:r w:rsidRPr="003B75C2">
              <w:rPr>
                <w:i/>
                <w:szCs w:val="24"/>
                <w:lang w:eastAsia="lt-LT"/>
              </w:rPr>
              <w:t>angl.</w:t>
            </w:r>
            <w:r>
              <w:rPr>
                <w:szCs w:val="24"/>
                <w:lang w:eastAsia="lt-LT"/>
              </w:rPr>
              <w:t xml:space="preserve"> </w:t>
            </w:r>
            <w:proofErr w:type="spellStart"/>
            <w:r>
              <w:rPr>
                <w:szCs w:val="24"/>
                <w:lang w:eastAsia="lt-LT"/>
              </w:rPr>
              <w:t>Disruptive</w:t>
            </w:r>
            <w:proofErr w:type="spellEnd"/>
            <w:r>
              <w:rPr>
                <w:szCs w:val="24"/>
                <w:lang w:eastAsia="lt-LT"/>
              </w:rPr>
              <w:t xml:space="preserve"> </w:t>
            </w:r>
            <w:proofErr w:type="spellStart"/>
            <w:r>
              <w:rPr>
                <w:szCs w:val="24"/>
                <w:lang w:eastAsia="lt-LT"/>
              </w:rPr>
              <w:t>technology</w:t>
            </w:r>
            <w:proofErr w:type="spellEnd"/>
            <w:r>
              <w:rPr>
                <w:szCs w:val="24"/>
                <w:lang w:eastAsia="lt-LT"/>
              </w:rPr>
              <w:t>), kurios turi potencialo pakeisti esamą technologinę situaciją ir suteikti reikšmingą pranašumą mūšio lauke. Tai gali būti technologijos, kurios dar nėra plačiai naudojamos arba turi potencialą esmingai transformuoti gynybos operacijų pobūdį, pavyzdžiui, naujos kartos lazerinės sistemos, kurios gali efektyviai veikti per didelį atstumą, pasižymi mobilumu arba gebėjimu greitai keisti veikimo parametrus pagal situaciją.</w:t>
            </w:r>
          </w:p>
          <w:p w14:paraId="1C9E85FB" w14:textId="77777777" w:rsidR="007841D5" w:rsidRDefault="007841D5" w:rsidP="00663242">
            <w:pPr>
              <w:jc w:val="both"/>
              <w:rPr>
                <w:szCs w:val="24"/>
                <w:lang w:eastAsia="lt-LT"/>
              </w:rPr>
            </w:pPr>
          </w:p>
          <w:p w14:paraId="0886B286" w14:textId="77777777" w:rsidR="007841D5" w:rsidRDefault="007841D5" w:rsidP="00663242">
            <w:pPr>
              <w:jc w:val="both"/>
              <w:rPr>
                <w:szCs w:val="24"/>
                <w:lang w:eastAsia="lt-LT"/>
              </w:rPr>
            </w:pPr>
            <w:r>
              <w:rPr>
                <w:szCs w:val="24"/>
                <w:lang w:eastAsia="lt-LT"/>
              </w:rPr>
              <w:t xml:space="preserve">Galutinis tikslas – sukurti lazerinėmis technologijomis paremtą sprendimą, kuris ne tik atitiktų dabartinius gynybos poreikius, bet ir būtų pakankamai lankstus, kad galėtų prisitaikyti prie būsimų iššūkių. Tai leistų užtikrinti ilgalaikį pranašumą tiek techniniu, tiek operaciniu lygmeniu, atsižvelgiant į besikeičiančius mūšio lauko poreikius ir gynybos strategijos raidą. </w:t>
            </w:r>
          </w:p>
          <w:p w14:paraId="327B64F8" w14:textId="77777777" w:rsidR="007841D5" w:rsidRDefault="007841D5" w:rsidP="00663242">
            <w:pPr>
              <w:jc w:val="both"/>
              <w:rPr>
                <w:szCs w:val="24"/>
                <w:lang w:eastAsia="lt-LT"/>
              </w:rPr>
            </w:pPr>
          </w:p>
          <w:p w14:paraId="42DD50F7" w14:textId="77777777" w:rsidR="007841D5" w:rsidRDefault="007841D5" w:rsidP="00663242">
            <w:pPr>
              <w:jc w:val="both"/>
              <w:rPr>
                <w:szCs w:val="24"/>
                <w:u w:val="single"/>
                <w:lang w:eastAsia="lt-LT"/>
              </w:rPr>
            </w:pPr>
            <w:r>
              <w:rPr>
                <w:szCs w:val="24"/>
                <w:u w:val="single"/>
                <w:lang w:eastAsia="lt-LT"/>
              </w:rPr>
              <w:t>Remiamos veiklos</w:t>
            </w:r>
          </w:p>
          <w:p w14:paraId="3F77E986" w14:textId="77777777" w:rsidR="007841D5" w:rsidRDefault="007841D5" w:rsidP="00663242">
            <w:pPr>
              <w:jc w:val="both"/>
              <w:rPr>
                <w:szCs w:val="24"/>
                <w:lang w:eastAsia="lt-LT"/>
              </w:rPr>
            </w:pPr>
          </w:p>
          <w:p w14:paraId="764692B1" w14:textId="77777777" w:rsidR="007841D5" w:rsidRDefault="007841D5" w:rsidP="00663242">
            <w:pPr>
              <w:pStyle w:val="BodyText"/>
              <w:spacing w:after="0"/>
              <w:jc w:val="both"/>
              <w:rPr>
                <w:szCs w:val="24"/>
                <w:lang w:eastAsia="lt-LT"/>
              </w:rPr>
            </w:pPr>
            <w:r>
              <w:rPr>
                <w:szCs w:val="24"/>
                <w:lang w:eastAsia="lt-LT"/>
              </w:rPr>
              <w:t>Remiamos veiklos apima visą lazerinių technologijų sprendimų kūrimo procesą – nuo koncepcijos vystymo iki prototipo kūrimo. Projekto veiklos skirstomos į du etapus:</w:t>
            </w:r>
          </w:p>
          <w:p w14:paraId="0C76886A" w14:textId="77777777" w:rsidR="007841D5" w:rsidRDefault="007841D5" w:rsidP="00663242">
            <w:pPr>
              <w:pStyle w:val="BodyText"/>
              <w:numPr>
                <w:ilvl w:val="0"/>
                <w:numId w:val="1"/>
              </w:numPr>
              <w:tabs>
                <w:tab w:val="clear" w:pos="709"/>
                <w:tab w:val="left" w:pos="0"/>
              </w:tabs>
              <w:jc w:val="both"/>
            </w:pPr>
            <w:r>
              <w:rPr>
                <w:rStyle w:val="Strong"/>
                <w:rFonts w:eastAsiaTheme="majorEastAsia"/>
              </w:rPr>
              <w:t>Pirmas etapas</w:t>
            </w:r>
            <w:r>
              <w:t>: Šiame etape pagrindinis dėmesys skiriamas konceptualiam projekto įgyvendinamumui. Per tris mėnesius projekto vykdytojai turės sukurti ir pateikti įrodymus, kad jų siūloma idėja yra įgyvendinama. Šiame etape pasiekiamas 3 TPL (techninės parengties lygis), kuris apima koncepcijos validaciją ir pradinius modeliavimus ar eksperimentus, parodančius technologijos potencialą. Maksimalus finansavimas šiame etape – iki 10 000 Eur.</w:t>
            </w:r>
          </w:p>
          <w:p w14:paraId="3A5C0494" w14:textId="77777777" w:rsidR="007841D5" w:rsidRDefault="007841D5" w:rsidP="00663242">
            <w:pPr>
              <w:pStyle w:val="BodyText"/>
              <w:numPr>
                <w:ilvl w:val="0"/>
                <w:numId w:val="1"/>
              </w:numPr>
              <w:tabs>
                <w:tab w:val="clear" w:pos="709"/>
                <w:tab w:val="left" w:pos="0"/>
              </w:tabs>
              <w:jc w:val="both"/>
            </w:pPr>
            <w:r>
              <w:rPr>
                <w:rStyle w:val="Strong"/>
                <w:rFonts w:eastAsiaTheme="majorEastAsia"/>
              </w:rPr>
              <w:t>Antras etapas</w:t>
            </w:r>
            <w:r>
              <w:t xml:space="preserve">: Antrajame etape, kuris trunka iki 12 mėnesių, tikslas yra sukurti veikiantį prototipą. Šiame etape projekto vykdytojai turi pasiekti 6 TPL lygį, kas reiškia, kad bus sukurtas bandomosios versijos prototipas, kuris galėtų būti toliau tobulinamas ir išbandomas realiomis sąlygomis. Šis etapas apima sudėtingesnius tyrimus, inžinerinius sprendimus ir gamybos procesus. </w:t>
            </w:r>
          </w:p>
          <w:p w14:paraId="772872D6" w14:textId="77777777" w:rsidR="007841D5" w:rsidRDefault="007841D5" w:rsidP="00663242">
            <w:pPr>
              <w:pStyle w:val="BodyText"/>
              <w:jc w:val="both"/>
            </w:pPr>
            <w:r>
              <w:t>Visos veiklos turi būti atliekamos laikantis etikos principų, nustatytų Lietuvos ir Europos Sąjungos teisės aktuose, užtikrinant, kad vykdomi projektai nepažeistų žmogaus teisių ar kitų tarptautinių susitarimų.</w:t>
            </w:r>
          </w:p>
          <w:p w14:paraId="65CA6A1C" w14:textId="77777777" w:rsidR="007841D5" w:rsidRDefault="007841D5" w:rsidP="00663242">
            <w:pPr>
              <w:pStyle w:val="BodyText"/>
              <w:jc w:val="both"/>
              <w:rPr>
                <w:szCs w:val="24"/>
                <w:lang w:eastAsia="lt-LT"/>
              </w:rPr>
            </w:pPr>
          </w:p>
        </w:tc>
      </w:tr>
    </w:tbl>
    <w:p w14:paraId="52017205" w14:textId="77777777" w:rsidR="006509DF" w:rsidRDefault="006509DF"/>
    <w:sectPr w:rsidR="006509D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74CA"/>
    <w:multiLevelType w:val="multilevel"/>
    <w:tmpl w:val="6EC28D7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16cid:durableId="919950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D5"/>
    <w:rsid w:val="002A39A7"/>
    <w:rsid w:val="006509DF"/>
    <w:rsid w:val="007841D5"/>
    <w:rsid w:val="009D45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B4E9"/>
  <w15:chartTrackingRefBased/>
  <w15:docId w15:val="{62578583-15B1-413D-91EE-EE60AE47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1D5"/>
    <w:pPr>
      <w:suppressAutoHyphens/>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84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1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1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1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1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1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1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1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1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1D5"/>
    <w:rPr>
      <w:rFonts w:eastAsiaTheme="majorEastAsia" w:cstheme="majorBidi"/>
      <w:color w:val="272727" w:themeColor="text1" w:themeTint="D8"/>
    </w:rPr>
  </w:style>
  <w:style w:type="paragraph" w:styleId="Title">
    <w:name w:val="Title"/>
    <w:basedOn w:val="Normal"/>
    <w:next w:val="Normal"/>
    <w:link w:val="TitleChar"/>
    <w:uiPriority w:val="10"/>
    <w:qFormat/>
    <w:rsid w:val="007841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1D5"/>
    <w:pPr>
      <w:spacing w:before="160"/>
      <w:jc w:val="center"/>
    </w:pPr>
    <w:rPr>
      <w:i/>
      <w:iCs/>
      <w:color w:val="404040" w:themeColor="text1" w:themeTint="BF"/>
    </w:rPr>
  </w:style>
  <w:style w:type="character" w:customStyle="1" w:styleId="QuoteChar">
    <w:name w:val="Quote Char"/>
    <w:basedOn w:val="DefaultParagraphFont"/>
    <w:link w:val="Quote"/>
    <w:uiPriority w:val="29"/>
    <w:rsid w:val="007841D5"/>
    <w:rPr>
      <w:i/>
      <w:iCs/>
      <w:color w:val="404040" w:themeColor="text1" w:themeTint="BF"/>
    </w:rPr>
  </w:style>
  <w:style w:type="paragraph" w:styleId="ListParagraph">
    <w:name w:val="List Paragraph"/>
    <w:basedOn w:val="Normal"/>
    <w:uiPriority w:val="34"/>
    <w:qFormat/>
    <w:rsid w:val="007841D5"/>
    <w:pPr>
      <w:ind w:left="720"/>
      <w:contextualSpacing/>
    </w:pPr>
  </w:style>
  <w:style w:type="character" w:styleId="IntenseEmphasis">
    <w:name w:val="Intense Emphasis"/>
    <w:basedOn w:val="DefaultParagraphFont"/>
    <w:uiPriority w:val="21"/>
    <w:qFormat/>
    <w:rsid w:val="007841D5"/>
    <w:rPr>
      <w:i/>
      <w:iCs/>
      <w:color w:val="0F4761" w:themeColor="accent1" w:themeShade="BF"/>
    </w:rPr>
  </w:style>
  <w:style w:type="paragraph" w:styleId="IntenseQuote">
    <w:name w:val="Intense Quote"/>
    <w:basedOn w:val="Normal"/>
    <w:next w:val="Normal"/>
    <w:link w:val="IntenseQuoteChar"/>
    <w:uiPriority w:val="30"/>
    <w:qFormat/>
    <w:rsid w:val="00784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1D5"/>
    <w:rPr>
      <w:i/>
      <w:iCs/>
      <w:color w:val="0F4761" w:themeColor="accent1" w:themeShade="BF"/>
    </w:rPr>
  </w:style>
  <w:style w:type="character" w:styleId="IntenseReference">
    <w:name w:val="Intense Reference"/>
    <w:basedOn w:val="DefaultParagraphFont"/>
    <w:uiPriority w:val="32"/>
    <w:qFormat/>
    <w:rsid w:val="007841D5"/>
    <w:rPr>
      <w:b/>
      <w:bCs/>
      <w:smallCaps/>
      <w:color w:val="0F4761" w:themeColor="accent1" w:themeShade="BF"/>
      <w:spacing w:val="5"/>
    </w:rPr>
  </w:style>
  <w:style w:type="character" w:styleId="Strong">
    <w:name w:val="Strong"/>
    <w:qFormat/>
    <w:rsid w:val="007841D5"/>
    <w:rPr>
      <w:b/>
      <w:bCs/>
    </w:rPr>
  </w:style>
  <w:style w:type="paragraph" w:styleId="BodyText">
    <w:name w:val="Body Text"/>
    <w:basedOn w:val="Normal"/>
    <w:link w:val="BodyTextChar"/>
    <w:rsid w:val="007841D5"/>
    <w:pPr>
      <w:spacing w:after="140" w:line="276" w:lineRule="auto"/>
    </w:pPr>
  </w:style>
  <w:style w:type="character" w:customStyle="1" w:styleId="BodyTextChar">
    <w:name w:val="Body Text Char"/>
    <w:basedOn w:val="DefaultParagraphFont"/>
    <w:link w:val="BodyText"/>
    <w:rsid w:val="007841D5"/>
    <w:rPr>
      <w:rFonts w:ascii="Times New Roman" w:eastAsia="Times New Roman" w:hAnsi="Times New Roman" w:cs="Times New Roman"/>
      <w:kern w:val="0"/>
      <w:szCs w:val="20"/>
      <w14:ligatures w14:val="none"/>
    </w:rPr>
  </w:style>
  <w:style w:type="table" w:styleId="TableGrid">
    <w:name w:val="Table Grid"/>
    <w:basedOn w:val="TableNormal"/>
    <w:rsid w:val="007841D5"/>
    <w:pPr>
      <w:suppressAutoHyphens/>
      <w:spacing w:after="0" w:line="240" w:lineRule="auto"/>
    </w:pPr>
    <w:rPr>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3311</Words>
  <Characters>1888</Characters>
  <Application>Microsoft Office Word</Application>
  <DocSecurity>0</DocSecurity>
  <Lines>15</Lines>
  <Paragraphs>10</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Keršienė</dc:creator>
  <cp:keywords/>
  <dc:description/>
  <cp:lastModifiedBy>Daiva Keršienė</cp:lastModifiedBy>
  <cp:revision>1</cp:revision>
  <dcterms:created xsi:type="dcterms:W3CDTF">2024-09-25T13:11:00Z</dcterms:created>
  <dcterms:modified xsi:type="dcterms:W3CDTF">2024-09-25T13:16:00Z</dcterms:modified>
</cp:coreProperties>
</file>