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1F76" w14:textId="77777777" w:rsidR="00767E22" w:rsidRDefault="00767E22" w:rsidP="00767E22">
      <w:pPr>
        <w:tabs>
          <w:tab w:val="left" w:pos="598"/>
        </w:tabs>
        <w:ind w:left="9356"/>
        <w:rPr>
          <w:bCs/>
          <w:iCs/>
          <w:szCs w:val="24"/>
          <w:lang w:bidi="lt-LT"/>
        </w:rPr>
      </w:pPr>
      <w:r>
        <w:rPr>
          <w:iCs/>
          <w:szCs w:val="24"/>
        </w:rPr>
        <w:t>2022–2030 metų plėtros programos valdytojos Lietuvos Respublikos ekonomikos ir inovacijų ministerijos ekonomikos transformacijos ir konkurencingumo plėtros programos pažangos priemonės Nr. 05-001-01-05-05 „</w:t>
      </w:r>
      <w:r>
        <w:rPr>
          <w:bCs/>
          <w:szCs w:val="24"/>
          <w:lang w:eastAsia="lt-LT"/>
        </w:rPr>
        <w:t>Skatinti įmones skaitmenizuotis</w:t>
      </w:r>
      <w:r>
        <w:rPr>
          <w:iCs/>
          <w:szCs w:val="24"/>
        </w:rPr>
        <w:t>“ veiklos „</w:t>
      </w:r>
      <w:r>
        <w:rPr>
          <w:bCs/>
          <w:iCs/>
          <w:szCs w:val="24"/>
          <w:lang w:bidi="lt-LT"/>
        </w:rPr>
        <w:t>Skatinti labai mažų, mažų ir vidutinių įmonių skaitmeninimą, finansuojant e. pardavimo sandorių sudarymo sprendimų diegimą, paslaugų ir produktų konfigūravimą ir vizualizaciją“</w:t>
      </w:r>
      <w:r>
        <w:rPr>
          <w:iCs/>
          <w:szCs w:val="24"/>
        </w:rPr>
        <w:t xml:space="preserve"> </w:t>
      </w:r>
      <w:proofErr w:type="spellStart"/>
      <w:r>
        <w:rPr>
          <w:iCs/>
          <w:szCs w:val="24"/>
        </w:rPr>
        <w:t>poveiklės</w:t>
      </w:r>
      <w:proofErr w:type="spellEnd"/>
      <w:r>
        <w:rPr>
          <w:iCs/>
          <w:szCs w:val="24"/>
        </w:rPr>
        <w:t xml:space="preserve"> „</w:t>
      </w:r>
      <w:r>
        <w:rPr>
          <w:bCs/>
          <w:iCs/>
          <w:szCs w:val="24"/>
          <w:lang w:bidi="lt-LT"/>
        </w:rPr>
        <w:t>Skatinti labai mažų, mažų ir vidutinių įmonių skaitmeninimą, finansuojant e. pardavimo sandorių sudarymo sprendimų diegimą, paslaugų ir produktų konfigūravimą ir vizualizaciją</w:t>
      </w:r>
      <w:r>
        <w:rPr>
          <w:iCs/>
          <w:szCs w:val="24"/>
        </w:rPr>
        <w:t xml:space="preserve">“ (Sostinės regionas) ir </w:t>
      </w:r>
      <w:proofErr w:type="spellStart"/>
      <w:r>
        <w:rPr>
          <w:iCs/>
          <w:szCs w:val="24"/>
        </w:rPr>
        <w:t>poveiklės</w:t>
      </w:r>
      <w:proofErr w:type="spellEnd"/>
      <w:r>
        <w:rPr>
          <w:iCs/>
          <w:szCs w:val="24"/>
        </w:rPr>
        <w:t xml:space="preserve"> „</w:t>
      </w:r>
      <w:r>
        <w:rPr>
          <w:bCs/>
          <w:iCs/>
          <w:szCs w:val="24"/>
          <w:lang w:bidi="lt-LT"/>
        </w:rPr>
        <w:t>Skatinti labai mažų, mažų ir vidutinių įmonių skaitmeninimą, finansuojant e. pardavimo sandorių sudarymo sprendimų diegimą, paslaugų ir produktų konfigūravimą ir vizualizaciją</w:t>
      </w:r>
      <w:r>
        <w:rPr>
          <w:iCs/>
          <w:szCs w:val="24"/>
        </w:rPr>
        <w:t>“ (Vidurio ir vakarų Lietuvos regionas) projektų finansavimo sąlygų aprašo</w:t>
      </w:r>
    </w:p>
    <w:p w14:paraId="509AE2EF" w14:textId="77777777" w:rsidR="00767E22" w:rsidRDefault="00767E22" w:rsidP="00767E22">
      <w:pPr>
        <w:ind w:left="9356"/>
        <w:rPr>
          <w:szCs w:val="24"/>
        </w:rPr>
      </w:pPr>
      <w:r>
        <w:rPr>
          <w:iCs/>
          <w:szCs w:val="24"/>
        </w:rPr>
        <w:t>1 priedas</w:t>
      </w:r>
    </w:p>
    <w:p w14:paraId="6100C855" w14:textId="77777777" w:rsidR="00767E22" w:rsidRDefault="00767E22" w:rsidP="00767E22">
      <w:pPr>
        <w:jc w:val="center"/>
        <w:rPr>
          <w:rFonts w:eastAsia="Calibri"/>
          <w:b/>
          <w:bCs/>
          <w:szCs w:val="24"/>
        </w:rPr>
      </w:pPr>
    </w:p>
    <w:p w14:paraId="76125917" w14:textId="77777777" w:rsidR="00767E22" w:rsidRDefault="00767E22" w:rsidP="00767E22">
      <w:pPr>
        <w:ind w:right="142"/>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38F0BCFE" w14:textId="77777777" w:rsidR="00767E22" w:rsidRDefault="00767E22" w:rsidP="00767E22">
      <w:pPr>
        <w:jc w:val="center"/>
        <w:rPr>
          <w:rFonts w:eastAsia="Calibri"/>
          <w:b/>
          <w:bCs/>
          <w:szCs w:val="24"/>
        </w:rPr>
      </w:pPr>
    </w:p>
    <w:p w14:paraId="068F3D02" w14:textId="77777777" w:rsidR="00767E22" w:rsidRDefault="00767E22" w:rsidP="00767E22">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40243C4F" w14:textId="77777777" w:rsidR="00767E22" w:rsidRDefault="00767E22" w:rsidP="00767E22">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492A8096" w14:textId="77777777" w:rsidR="00767E22" w:rsidRDefault="00767E22" w:rsidP="00767E22">
      <w:pPr>
        <w:spacing w:line="276" w:lineRule="auto"/>
        <w:jc w:val="both"/>
        <w:rPr>
          <w:rFonts w:eastAsia="Calibri"/>
          <w:bCs/>
          <w:szCs w:val="24"/>
        </w:rPr>
      </w:pPr>
      <w:r>
        <w:rPr>
          <w:rFonts w:ascii="Wingdings" w:eastAsia="Wingdings" w:hAnsi="Wingdings" w:cs="Wingdings"/>
        </w:rPr>
        <w:t>þ</w:t>
      </w:r>
      <w:r>
        <w:t xml:space="preserve"> Europos Sąjungos fondų i</w:t>
      </w:r>
      <w:r>
        <w:rPr>
          <w:rFonts w:eastAsia="Calibri"/>
          <w:bCs/>
          <w:szCs w:val="24"/>
        </w:rPr>
        <w:t>nvesticijų programa (toliau – ESFIP)</w:t>
      </w:r>
    </w:p>
    <w:p w14:paraId="5873FDAB" w14:textId="77777777" w:rsidR="00767E22" w:rsidRDefault="00767E22" w:rsidP="00767E22">
      <w:pPr>
        <w:spacing w:line="276" w:lineRule="auto"/>
        <w:jc w:val="both"/>
        <w:rPr>
          <w:rFonts w:eastAsia="Calibri"/>
          <w:bCs/>
          <w:szCs w:val="24"/>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50"/>
        <w:gridCol w:w="4502"/>
      </w:tblGrid>
      <w:tr w:rsidR="00767E22" w14:paraId="31CA4BF2" w14:textId="77777777" w:rsidTr="00767E22">
        <w:tc>
          <w:tcPr>
            <w:tcW w:w="3516" w:type="dxa"/>
            <w:tcBorders>
              <w:top w:val="single" w:sz="4" w:space="0" w:color="auto"/>
              <w:left w:val="single" w:sz="4" w:space="0" w:color="auto"/>
              <w:bottom w:val="single" w:sz="4" w:space="0" w:color="auto"/>
              <w:right w:val="single" w:sz="4" w:space="0" w:color="auto"/>
            </w:tcBorders>
            <w:hideMark/>
          </w:tcPr>
          <w:p w14:paraId="7E93C4D1" w14:textId="77777777" w:rsidR="00767E22" w:rsidRDefault="00767E22">
            <w:pPr>
              <w:jc w:val="center"/>
              <w:rPr>
                <w:rFonts w:eastAsia="Calibri"/>
                <w:b/>
                <w:szCs w:val="24"/>
              </w:rPr>
            </w:pPr>
            <w:r>
              <w:rPr>
                <w:rFonts w:eastAsia="Calibri"/>
                <w:b/>
                <w:szCs w:val="24"/>
              </w:rPr>
              <w:t>Aplinkos tikslai</w:t>
            </w:r>
          </w:p>
          <w:p w14:paraId="05F28D53" w14:textId="77777777" w:rsidR="00767E22" w:rsidRDefault="00767E22">
            <w:pPr>
              <w:jc w:val="both"/>
              <w:rPr>
                <w:rFonts w:eastAsia="Calibri"/>
                <w:b/>
                <w:szCs w:val="24"/>
              </w:rPr>
            </w:pPr>
            <w:r>
              <w:rPr>
                <w:rFonts w:eastAsia="Calibri"/>
                <w:i/>
                <w:iCs/>
                <w:szCs w:val="24"/>
              </w:rPr>
              <w:t>(</w:t>
            </w:r>
            <w:r>
              <w:rPr>
                <w:rFonts w:eastAsia="Calibri"/>
                <w:i/>
                <w:szCs w:val="24"/>
              </w:rPr>
              <w:t xml:space="preserve">pagal 2020 m. birželio 18 d. Europos Parlamento ir Tarybos reglamentą (ES) 2020/852 dėl </w:t>
            </w:r>
            <w:r>
              <w:rPr>
                <w:rFonts w:eastAsia="Calibri"/>
                <w:i/>
                <w:szCs w:val="24"/>
              </w:rPr>
              <w:lastRenderedPageBreak/>
              <w:t>sistemos tvariam investavimui palengvinti sukūrimo, kuriuo iš dalies keičiamas Reglamentas (ES) 2019/2088)</w:t>
            </w:r>
          </w:p>
        </w:tc>
        <w:tc>
          <w:tcPr>
            <w:tcW w:w="7150" w:type="dxa"/>
            <w:tcBorders>
              <w:top w:val="single" w:sz="4" w:space="0" w:color="auto"/>
              <w:left w:val="single" w:sz="4" w:space="0" w:color="auto"/>
              <w:bottom w:val="single" w:sz="4" w:space="0" w:color="auto"/>
              <w:right w:val="single" w:sz="4" w:space="0" w:color="auto"/>
            </w:tcBorders>
            <w:hideMark/>
          </w:tcPr>
          <w:p w14:paraId="45246552" w14:textId="77777777" w:rsidR="00767E22" w:rsidRDefault="00767E22">
            <w:pPr>
              <w:jc w:val="center"/>
              <w:rPr>
                <w:rFonts w:eastAsia="Calibri"/>
                <w:b/>
                <w:szCs w:val="24"/>
              </w:rPr>
            </w:pPr>
            <w:r>
              <w:rPr>
                <w:rFonts w:eastAsia="Calibri"/>
                <w:b/>
                <w:szCs w:val="24"/>
              </w:rPr>
              <w:lastRenderedPageBreak/>
              <w:t>Pagrindimas</w:t>
            </w:r>
          </w:p>
          <w:p w14:paraId="204FCF29" w14:textId="77777777" w:rsidR="00767E22" w:rsidRDefault="00767E22">
            <w:pPr>
              <w:jc w:val="both"/>
              <w:rPr>
                <w:rFonts w:eastAsia="Calibri"/>
                <w:b/>
                <w:szCs w:val="24"/>
              </w:rPr>
            </w:pPr>
            <w:r>
              <w:rPr>
                <w:rFonts w:eastAsia="Calibri"/>
                <w:bCs/>
                <w:i/>
                <w:szCs w:val="24"/>
              </w:rPr>
              <w:t xml:space="preserve">(remiantis priemonių (kai finansavimo šaltinis EGADP) arba veiksmų (veiklų) (kai finansavimo šaltinis ESIFP) vertinimo klausimynais, </w:t>
            </w:r>
            <w:r>
              <w:rPr>
                <w:rFonts w:eastAsia="Calibri"/>
                <w:bCs/>
                <w:i/>
                <w:szCs w:val="24"/>
              </w:rPr>
              <w:lastRenderedPageBreak/>
              <w:t>nurodykite tik tą klausimyno vertinimo dalį, kuri aktuali finansuotinai veiklai)</w:t>
            </w:r>
          </w:p>
        </w:tc>
        <w:tc>
          <w:tcPr>
            <w:tcW w:w="4502" w:type="dxa"/>
            <w:tcBorders>
              <w:top w:val="single" w:sz="4" w:space="0" w:color="auto"/>
              <w:left w:val="single" w:sz="4" w:space="0" w:color="auto"/>
              <w:bottom w:val="single" w:sz="4" w:space="0" w:color="auto"/>
              <w:right w:val="single" w:sz="4" w:space="0" w:color="auto"/>
            </w:tcBorders>
            <w:hideMark/>
          </w:tcPr>
          <w:p w14:paraId="30CB1F9A" w14:textId="77777777" w:rsidR="00767E22" w:rsidRDefault="00767E22">
            <w:pPr>
              <w:jc w:val="center"/>
              <w:rPr>
                <w:rFonts w:eastAsia="Calibri"/>
                <w:i/>
                <w:sz w:val="20"/>
              </w:rPr>
            </w:pPr>
            <w:r>
              <w:rPr>
                <w:rFonts w:eastAsia="Calibri"/>
                <w:b/>
                <w:szCs w:val="24"/>
              </w:rPr>
              <w:lastRenderedPageBreak/>
              <w:t>Pagrindimo dokumentai</w:t>
            </w:r>
          </w:p>
          <w:p w14:paraId="7B882A43" w14:textId="77777777" w:rsidR="00767E22" w:rsidRDefault="00767E22">
            <w:pPr>
              <w:jc w:val="both"/>
              <w:rPr>
                <w:rFonts w:eastAsia="Calibri"/>
                <w:i/>
                <w:szCs w:val="24"/>
              </w:rPr>
            </w:pPr>
            <w:r>
              <w:rPr>
                <w:rFonts w:eastAsia="Calibri"/>
                <w:i/>
                <w:szCs w:val="24"/>
              </w:rPr>
              <w:t xml:space="preserve">(nurodomas dokumentas, kuris bus vertinamas siekiant įvertinti projekto atitiktį </w:t>
            </w:r>
            <w:r>
              <w:rPr>
                <w:rFonts w:eastAsia="Calibri"/>
                <w:i/>
                <w:szCs w:val="24"/>
              </w:rPr>
              <w:lastRenderedPageBreak/>
              <w:t>aplinkos tikslams, arba pateikiama šią atitiktį pagrindžianti informacija)</w:t>
            </w:r>
          </w:p>
        </w:tc>
      </w:tr>
      <w:tr w:rsidR="00767E22" w14:paraId="6855AE61" w14:textId="77777777" w:rsidTr="00767E22">
        <w:tc>
          <w:tcPr>
            <w:tcW w:w="3516" w:type="dxa"/>
            <w:tcBorders>
              <w:top w:val="single" w:sz="4" w:space="0" w:color="auto"/>
              <w:left w:val="single" w:sz="4" w:space="0" w:color="auto"/>
              <w:bottom w:val="single" w:sz="4" w:space="0" w:color="auto"/>
              <w:right w:val="single" w:sz="4" w:space="0" w:color="auto"/>
            </w:tcBorders>
            <w:hideMark/>
          </w:tcPr>
          <w:p w14:paraId="38D04347" w14:textId="77777777" w:rsidR="00767E22" w:rsidRDefault="00767E22">
            <w:pPr>
              <w:tabs>
                <w:tab w:val="left" w:pos="289"/>
              </w:tabs>
              <w:ind w:firstLine="5"/>
              <w:jc w:val="both"/>
              <w:rPr>
                <w:rFonts w:eastAsia="Calibri"/>
                <w:szCs w:val="24"/>
              </w:rPr>
            </w:pPr>
            <w:r>
              <w:rPr>
                <w:rFonts w:eastAsia="Calibri"/>
                <w:szCs w:val="24"/>
              </w:rPr>
              <w:lastRenderedPageBreak/>
              <w:t>1.</w:t>
            </w:r>
            <w:r>
              <w:rPr>
                <w:rFonts w:eastAsia="Calibri"/>
                <w:szCs w:val="24"/>
              </w:rPr>
              <w:tab/>
              <w:t>Klimato kaitos švelninimas</w:t>
            </w:r>
          </w:p>
        </w:tc>
        <w:tc>
          <w:tcPr>
            <w:tcW w:w="7150" w:type="dxa"/>
            <w:tcBorders>
              <w:top w:val="single" w:sz="4" w:space="0" w:color="auto"/>
              <w:left w:val="single" w:sz="4" w:space="0" w:color="auto"/>
              <w:bottom w:val="single" w:sz="4" w:space="0" w:color="auto"/>
              <w:right w:val="single" w:sz="4" w:space="0" w:color="auto"/>
            </w:tcBorders>
            <w:hideMark/>
          </w:tcPr>
          <w:p w14:paraId="28B1D5C2" w14:textId="77777777" w:rsidR="00767E22" w:rsidRDefault="00767E22">
            <w:pPr>
              <w:jc w:val="both"/>
              <w:rPr>
                <w:rFonts w:eastAsia="Calibri"/>
                <w:bCs/>
                <w:szCs w:val="24"/>
              </w:rPr>
            </w:pPr>
            <w:r>
              <w:rPr>
                <w:rFonts w:eastAsia="Calibri"/>
                <w:bCs/>
                <w:szCs w:val="24"/>
              </w:rPr>
              <w:t>Vertinama, kad planuojami įgyvendinti  veiksmai (veiklos) dėl savo pobūdžio neturės jokio neigiamo tiesioginio ar netiesioginio poveikio klimato kaitos švelninimo tikslui, nes nenumatoma, kad įgyvendinant suplanuotus  veiksmus (veiklas) būtų kuriama tokia infrastruktūra, kuri galėtų turėti ženklų poveikį klimato kaitai ir galėtų būti šiltnamio efektą sukeliančių dujų išsiskyrimas.</w:t>
            </w:r>
          </w:p>
          <w:p w14:paraId="49623A95" w14:textId="77777777" w:rsidR="00767E22" w:rsidRDefault="00767E22">
            <w:pPr>
              <w:jc w:val="both"/>
              <w:rPr>
                <w:rFonts w:eastAsia="Calibri"/>
                <w:bCs/>
                <w:i/>
                <w:szCs w:val="24"/>
              </w:rPr>
            </w:pPr>
            <w:r>
              <w:rPr>
                <w:rFonts w:eastAsia="Calibri"/>
                <w:bCs/>
                <w:szCs w:val="24"/>
              </w:rPr>
              <w:t xml:space="preserve">Bus investuojama į labai mažų, mažų ir vidutinių įmonių (toliau – MVĮ) skaitmeninimą, prioritetą teikiant </w:t>
            </w:r>
            <w:r>
              <w:rPr>
                <w:szCs w:val="24"/>
              </w:rPr>
              <w:t xml:space="preserve">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 </w:t>
            </w:r>
          </w:p>
          <w:p w14:paraId="586E4E6E" w14:textId="77777777" w:rsidR="00767E22" w:rsidRDefault="00767E22">
            <w:pPr>
              <w:jc w:val="both"/>
              <w:rPr>
                <w:rFonts w:eastAsia="Calibri"/>
                <w:bCs/>
                <w:szCs w:val="24"/>
              </w:rPr>
            </w:pPr>
            <w:r>
              <w:rPr>
                <w:rFonts w:eastAsia="Calibri"/>
                <w:bCs/>
                <w:szCs w:val="24"/>
              </w:rPr>
              <w:t xml:space="preserve">Įgyvendinat veiksmus (veiklas) bus laikomasi reikalavimų, nustatytų Europos duomenų centro energijos vartojimo efektyvumo elgesio kodekse, skelbiamame interneto svetainėje https://e3p.jrc.ec.europa.eu/publications/2021-best-practice-guidelines-eu-code-conduct-data-centre-energy-efficiency. </w:t>
            </w:r>
          </w:p>
          <w:p w14:paraId="1AC3A5CF" w14:textId="77777777" w:rsidR="00767E22" w:rsidRDefault="00767E22">
            <w:pPr>
              <w:jc w:val="both"/>
              <w:rPr>
                <w:rFonts w:eastAsia="Calibri"/>
                <w:bCs/>
                <w:szCs w:val="24"/>
              </w:rPr>
            </w:pPr>
            <w:r>
              <w:rPr>
                <w:rFonts w:eastAsia="Calibri"/>
                <w:bCs/>
                <w:szCs w:val="24"/>
              </w:rPr>
              <w:t xml:space="preserve">Įgyvendinant veiksmus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nustatytais techninės analizės kriterijais,  taikomais  atitinkamiems veiksmams (veikloms) (pvz., įsigyjant informacinių technologijų (toliau – IT) įrangą – taikomi Deleguotojo reglamento (ES) 2021/2139 I priedo 8 skyriaus atitinkamuose skirsniuose nustatyti techninės analizės kriterijai ir t.  t.) </w:t>
            </w:r>
            <w:r>
              <w:rPr>
                <w:rFonts w:eastAsia="Calibri"/>
                <w:bCs/>
                <w:szCs w:val="24"/>
              </w:rPr>
              <w:lastRenderedPageBreak/>
              <w:t>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hideMark/>
          </w:tcPr>
          <w:p w14:paraId="5EBCB37D" w14:textId="77777777" w:rsidR="00767E22" w:rsidRDefault="00767E22">
            <w:pPr>
              <w:tabs>
                <w:tab w:val="left" w:pos="589"/>
              </w:tabs>
              <w:jc w:val="both"/>
              <w:rPr>
                <w:rFonts w:eastAsia="Calibri"/>
                <w:bCs/>
                <w:szCs w:val="24"/>
              </w:rPr>
            </w:pPr>
            <w:r>
              <w:rPr>
                <w:rFonts w:eastAsia="Calibri"/>
                <w:bCs/>
                <w:szCs w:val="24"/>
              </w:rPr>
              <w:lastRenderedPageBreak/>
              <w:t>Siekiant užtikrinti Deleguotojo reglamento (ES) 2021/2139 I priedo atitinkamuose skirsniuose atitinkamiems veiksmams (veikloms) taikomų  nuostatų įgyvendinimą (pvz., įsigyjant IT įrangą – taikomi Deleguotojo reglamento (ES) 2021/2139 I priedo 8 skyriaus atitinkamuose skirsniuose  nustatyti techninės analizės kriterijai ir t.  t.), pareiškėjas privalo pateikti dokumentus, įrodančius įgyjamos IT įrangos atitikimą Deleguotojo reglamento (ES) 2021/2139 I priedo 8 skyriaus atitinkamuose skirsniuose nustatytiems techninės analizės kriterijams. Tai gali būti pirkimo dokumentai, įrangos aprašymai, techninės specifikacijos ir kiti dokumentai.</w:t>
            </w:r>
          </w:p>
          <w:p w14:paraId="083EB295" w14:textId="77777777" w:rsidR="00767E22" w:rsidRDefault="00767E22">
            <w:pPr>
              <w:tabs>
                <w:tab w:val="left" w:pos="589"/>
              </w:tabs>
              <w:jc w:val="both"/>
              <w:rPr>
                <w:rFonts w:eastAsia="Calibri"/>
                <w:i/>
                <w:sz w:val="20"/>
              </w:rPr>
            </w:pPr>
            <w:r>
              <w:rPr>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767E22" w14:paraId="5FA4886D" w14:textId="77777777" w:rsidTr="00767E22">
        <w:tc>
          <w:tcPr>
            <w:tcW w:w="3516" w:type="dxa"/>
            <w:tcBorders>
              <w:top w:val="single" w:sz="4" w:space="0" w:color="auto"/>
              <w:left w:val="single" w:sz="4" w:space="0" w:color="auto"/>
              <w:bottom w:val="single" w:sz="4" w:space="0" w:color="auto"/>
              <w:right w:val="single" w:sz="4" w:space="0" w:color="auto"/>
            </w:tcBorders>
            <w:hideMark/>
          </w:tcPr>
          <w:p w14:paraId="3A0FBE8B" w14:textId="77777777" w:rsidR="00767E22" w:rsidRDefault="00767E2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150" w:type="dxa"/>
            <w:tcBorders>
              <w:top w:val="single" w:sz="4" w:space="0" w:color="auto"/>
              <w:left w:val="single" w:sz="4" w:space="0" w:color="auto"/>
              <w:bottom w:val="single" w:sz="4" w:space="0" w:color="auto"/>
              <w:right w:val="single" w:sz="4" w:space="0" w:color="auto"/>
            </w:tcBorders>
            <w:hideMark/>
          </w:tcPr>
          <w:p w14:paraId="090DA547" w14:textId="77777777" w:rsidR="00767E22" w:rsidRDefault="00767E22">
            <w:pPr>
              <w:jc w:val="both"/>
              <w:rPr>
                <w:szCs w:val="24"/>
              </w:rPr>
            </w:pPr>
            <w:r>
              <w:rPr>
                <w:bCs/>
                <w:szCs w:val="24"/>
              </w:rPr>
              <w:t>Vertinama, kad planuojami  įgyvendinti veiksmai (veiklos) dėl savo pobūdžio neturės jokio neigiamo tiesioginio ar netiesioginio poveikio prisitaikymo prie klimato kaitos tikslui. Bu</w:t>
            </w:r>
            <w:r>
              <w:rPr>
                <w:rFonts w:eastAsia="Calibri"/>
                <w:bCs/>
                <w:szCs w:val="24"/>
              </w:rPr>
              <w:t xml:space="preserve">s investuojama į MVĮ skaitmeninimą, prioritetą teikiant </w:t>
            </w:r>
            <w:r>
              <w:rPr>
                <w:szCs w:val="24"/>
              </w:rPr>
              <w:t xml:space="preserve">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 </w:t>
            </w:r>
          </w:p>
          <w:p w14:paraId="6B8A52E8" w14:textId="77777777" w:rsidR="00767E22" w:rsidRDefault="00767E22">
            <w:pPr>
              <w:ind w:left="51"/>
              <w:jc w:val="both"/>
              <w:rPr>
                <w:rFonts w:eastAsia="Calibri"/>
                <w:iCs/>
                <w:szCs w:val="24"/>
              </w:rPr>
            </w:pPr>
            <w:r>
              <w:rPr>
                <w:rFonts w:eastAsia="Calibri"/>
                <w:iCs/>
                <w:szCs w:val="24"/>
              </w:rPr>
              <w:t>Naudojama įranga atitinka serveriams ir duomenų saugojimo produktams taikomus reikalavimus, nustatytus 2009 m. spalio 21 d. Europos Parlamento ir Tarybos direktyvoje 2009/125/EB nustatančioje ekologinio projektavimo reikalavimų su energija susijusiems gaminiams nustatymo sistemą</w:t>
            </w:r>
            <w:r>
              <w:t xml:space="preserve"> </w:t>
            </w:r>
            <w:r>
              <w:rPr>
                <w:rFonts w:eastAsia="Calibri"/>
                <w:iCs/>
                <w:szCs w:val="24"/>
              </w:rPr>
              <w:t>(nauja redakcija) su visais pakeitimais. Naudojamoje įrangoje nėra 2011 m. birželio 8 d. Europos Parlamento ir Tarybos direktyvos 2011/65/ES dėl tam tikrų pavojingų medžiagų naudojimo elektros ir elektroninėje įrangoje apribojimo (nauja redakcija) su visais pakeitimais II priede išvardytų ribojamų medžiagų, išskyrus atvejus, kai homogeninių medžiagų koncentracijos vertės pagal masę neviršija Direktyvos 2011/65/ES II priede išvardytų didžiausių verčių.</w:t>
            </w:r>
          </w:p>
          <w:p w14:paraId="349B7E60" w14:textId="77777777" w:rsidR="00767E22" w:rsidRDefault="00767E22">
            <w:pPr>
              <w:ind w:left="51"/>
              <w:jc w:val="both"/>
              <w:rPr>
                <w:rFonts w:eastAsia="Calibri"/>
                <w:bCs/>
                <w:szCs w:val="24"/>
              </w:rPr>
            </w:pPr>
            <w:r>
              <w:rPr>
                <w:rFonts w:eastAsia="Calibri"/>
                <w:bCs/>
                <w:szCs w:val="24"/>
              </w:rPr>
              <w:t>Įgyvendinat veiksmus (veiklas) bus laikomasi reikalavimų, nustatytų Europos duomenų centro energijos vartojimo efektyvumo elgesio kodekse, skelbiamame interneto svetainėje https://e3p.jrc.ec.europa.eu/publications/2021-best-practice-guidelines-eu-code-conduct-data-centre-energy-efficiency. Įgyvendinant veiksmus (veiklas), bus vadovaujamasi Deleguotojo reglamento (ES) 2021/2139  I ir II priedo atitinkamoms veikloms (pvz., įsigyjant IT įrangą – taikomi Deleguotojo reglamento (ES) 2021/2139 I priedo 8 skyriaus atitinkamuose skirsniuose ir II priedo 8 skyriaus atitinkamuose skirsniuose nustatyti techninės analizės 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hideMark/>
          </w:tcPr>
          <w:p w14:paraId="4C4BF886" w14:textId="77777777" w:rsidR="00767E22" w:rsidRDefault="00767E22">
            <w:pPr>
              <w:ind w:left="51"/>
              <w:jc w:val="both"/>
              <w:rPr>
                <w:rFonts w:eastAsia="Calibri"/>
                <w:iCs/>
                <w:szCs w:val="24"/>
              </w:rPr>
            </w:pPr>
            <w:r>
              <w:rPr>
                <w:rFonts w:eastAsia="Calibri"/>
                <w:bCs/>
                <w:szCs w:val="24"/>
              </w:rPr>
              <w:t xml:space="preserve">Siekiant užtikrinti Deleguotojo reglamento (ES) 2021/2139 I ir II priedo atitinkamuose skirsniuose atitinkamiems veiksmams (veikloms) taikomų  nuostatų įgyvendinimą (pvz., įsigyjant IT įrangą – taikomi Deleguotojo reglamento (ES) 2021/2139 I ir II priedo 8 skyriaus atitinkamuose skirsniuose nustatyti techninės analizės kriterijai ir t. t.), pareiškėjas privalo pateikti dokumentus, įrodančius įgyjamos IT įrangos atitikimą Deleguotojo reglamento (ES) 2021/2139 I ir II priedo 8 skyriaus atitinkamuose skirsniuose nustatytiems techninės analizės kriterijams  Tai gali būti pirkimo dokumentai, įrangos aprašymai, techninės specifikacijos ir kiti dokumentai. Taip pat turi būti pateikti dokumentai, įrodantys įrangos atitikimą reikalavimams, nustatytiems </w:t>
            </w:r>
            <w:r>
              <w:rPr>
                <w:rFonts w:eastAsia="Calibri"/>
                <w:iCs/>
                <w:szCs w:val="24"/>
              </w:rPr>
              <w:t>Direktyvoje 2009/125/EB ir įrodančius dokumentus, kad naudojamoje įrangoje nėra Direktyvos 2011/65/ES II priede išvardytų ribojamų medžiagų, išskyrus atvejus, kai homogeninių medžiagų koncentracijos vertės pagal masę neviršija Direktyvos 2011/65/ES II priede išvardytų didžiausių verčių.</w:t>
            </w:r>
          </w:p>
          <w:p w14:paraId="198A09BE" w14:textId="77777777" w:rsidR="00767E22" w:rsidRDefault="00767E22">
            <w:pPr>
              <w:ind w:left="51"/>
              <w:jc w:val="both"/>
              <w:rPr>
                <w:rFonts w:eastAsia="Calibri"/>
                <w:iCs/>
                <w:szCs w:val="24"/>
              </w:rPr>
            </w:pPr>
            <w:r>
              <w:rPr>
                <w:szCs w:val="24"/>
              </w:rPr>
              <w:t xml:space="preserve">Tais atvejais, kai įgyvendinami veiksmai (veiklos), kuriems dėl jų pobūdžio netaikomi pirmiau nurodytų teisės aktų konkretūs reikalavimai, teikiama tik projekto vykdytojo deklaracija, patvirtinanti projekto atitiktį reikšmingos žalos nedarymo </w:t>
            </w:r>
            <w:r>
              <w:rPr>
                <w:szCs w:val="24"/>
              </w:rPr>
              <w:lastRenderedPageBreak/>
              <w:t>principui (papildomi dokumentai neteikiami).</w:t>
            </w:r>
          </w:p>
        </w:tc>
      </w:tr>
      <w:tr w:rsidR="00767E22" w14:paraId="620829A6" w14:textId="77777777" w:rsidTr="00767E22">
        <w:tc>
          <w:tcPr>
            <w:tcW w:w="3516" w:type="dxa"/>
            <w:tcBorders>
              <w:top w:val="single" w:sz="4" w:space="0" w:color="auto"/>
              <w:left w:val="single" w:sz="4" w:space="0" w:color="auto"/>
              <w:bottom w:val="single" w:sz="4" w:space="0" w:color="auto"/>
              <w:right w:val="single" w:sz="4" w:space="0" w:color="auto"/>
            </w:tcBorders>
            <w:hideMark/>
          </w:tcPr>
          <w:p w14:paraId="4612A599" w14:textId="77777777" w:rsidR="00767E22" w:rsidRDefault="00767E22">
            <w:pPr>
              <w:tabs>
                <w:tab w:val="left" w:pos="289"/>
              </w:tabs>
              <w:ind w:firstLine="5"/>
              <w:jc w:val="both"/>
              <w:rPr>
                <w:rFonts w:eastAsia="Calibri"/>
                <w:szCs w:val="24"/>
              </w:rPr>
            </w:pPr>
            <w:r>
              <w:rPr>
                <w:rFonts w:eastAsia="Calibri"/>
                <w:szCs w:val="24"/>
              </w:rPr>
              <w:lastRenderedPageBreak/>
              <w:t>3.</w:t>
            </w:r>
            <w:r>
              <w:rPr>
                <w:rFonts w:eastAsia="Calibri"/>
                <w:szCs w:val="24"/>
              </w:rPr>
              <w:tab/>
              <w:t>Tausus vandens ir jūrų išteklių naudojimas ir apsauga</w:t>
            </w:r>
          </w:p>
        </w:tc>
        <w:tc>
          <w:tcPr>
            <w:tcW w:w="7150" w:type="dxa"/>
            <w:tcBorders>
              <w:top w:val="single" w:sz="4" w:space="0" w:color="auto"/>
              <w:left w:val="single" w:sz="4" w:space="0" w:color="auto"/>
              <w:bottom w:val="single" w:sz="4" w:space="0" w:color="auto"/>
              <w:right w:val="single" w:sz="4" w:space="0" w:color="auto"/>
            </w:tcBorders>
            <w:hideMark/>
          </w:tcPr>
          <w:p w14:paraId="5467BCEA" w14:textId="77777777" w:rsidR="00767E22" w:rsidRDefault="00767E22">
            <w:pPr>
              <w:jc w:val="both"/>
              <w:rPr>
                <w:bCs/>
                <w:szCs w:val="24"/>
              </w:rPr>
            </w:pPr>
            <w:r>
              <w:rPr>
                <w:bCs/>
                <w:szCs w:val="24"/>
              </w:rPr>
              <w:t>Vertinama, kad planuojami įgyvendinti veiksmai (veiklos) (dėl savo pobūdžio) neturės jokio neigiamo tiesioginio ir netiesioginio poveikio šiam aplinkos tikslui, nes nenumatoma kurti jokios infrastruktūros šalia vandens telkinių, kuri galėtų turėti įtakos tausiam vandens ir jūrų išteklių naudojimui, todėl laikoma, kad šie veiksmai (veiklos) atitinka tausaus vandens ir jūrų išteklių naudojimo ir apsaugos tikslą.</w:t>
            </w:r>
          </w:p>
          <w:p w14:paraId="2AC75126" w14:textId="77777777" w:rsidR="00767E22" w:rsidRDefault="00767E22">
            <w:pPr>
              <w:jc w:val="both"/>
              <w:rPr>
                <w:szCs w:val="24"/>
              </w:rPr>
            </w:pPr>
            <w:r>
              <w:rPr>
                <w:rFonts w:eastAsia="Calibri"/>
                <w:bCs/>
                <w:szCs w:val="24"/>
              </w:rPr>
              <w:t xml:space="preserve">Bus investuojama į MVĮ skaitmeninimą, prioritetą teikiant </w:t>
            </w:r>
            <w:r>
              <w:rPr>
                <w:szCs w:val="24"/>
              </w:rPr>
              <w:t>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3B80E71C" w14:textId="77777777" w:rsidR="00767E22" w:rsidRDefault="00767E22">
            <w:pPr>
              <w:jc w:val="both"/>
              <w:rPr>
                <w:rFonts w:eastAsia="Calibri"/>
                <w:iCs/>
                <w:szCs w:val="24"/>
              </w:rPr>
            </w:pPr>
            <w:r>
              <w:rPr>
                <w:rFonts w:eastAsia="Calibri"/>
                <w:iCs/>
                <w:szCs w:val="24"/>
              </w:rPr>
              <w:t>Naudojama įranga atitinka serveriams ir duomenų saugojimo produktams taikomus reikalavimus, nustatytus Direktyvoje 2009/125/EB. Naudojamoje įrangoje nėra Direktyvos 2011/65/ES II priede išvardytų ribojamų medžiagų, išskyrus atvejus, kai homogeninių medžiagų koncentracijos vertės pagal masę neviršija Direktyvos 2011/65/ES II priede išvardytų didžiausių verčių.</w:t>
            </w:r>
          </w:p>
          <w:p w14:paraId="5B2F01E0" w14:textId="77777777" w:rsidR="00767E22" w:rsidRDefault="00767E22">
            <w:pPr>
              <w:jc w:val="both"/>
              <w:rPr>
                <w:rFonts w:eastAsia="Calibri"/>
                <w:bCs/>
                <w:szCs w:val="24"/>
              </w:rPr>
            </w:pPr>
            <w:r>
              <w:rPr>
                <w:rFonts w:eastAsia="Calibri"/>
                <w:bCs/>
                <w:szCs w:val="24"/>
              </w:rPr>
              <w:t>Įgyvendinat veiksmus (veiklas) bus laikomasi reikalavimų, nustatytų Europos duomenų centro energijos vartojimo efektyvumo elgesio kodekse, skelbiamame interneto svetainėjehttps://e3p.jrc.ec.europa.eu/publications/2021-best-practice-guidelines-eu-code-conduct-data-centre-energy-efficiency ir kituose dokumentuose, nurodytuose Deleguotajame reglamente (ES) 2021/2139, nustatytų reikalavimų.</w:t>
            </w:r>
          </w:p>
          <w:p w14:paraId="3567CD03" w14:textId="77777777" w:rsidR="00767E22" w:rsidRDefault="00767E22">
            <w:pPr>
              <w:jc w:val="both"/>
              <w:rPr>
                <w:rFonts w:eastAsia="Calibri"/>
                <w:b/>
                <w:szCs w:val="24"/>
              </w:rPr>
            </w:pPr>
            <w:r>
              <w:rPr>
                <w:color w:val="000000"/>
                <w:szCs w:val="24"/>
              </w:rPr>
              <w:t xml:space="preserve">Įgyvendinant veiksmus (veiklas) bus vadovaujamasi Deleguotojo reglamento (ES) 2021/2139  I priedo ir II priedo atitinkamuose skirsniuose (pvz., įsigyjant IT įrangą – taikomi </w:t>
            </w:r>
            <w:r>
              <w:rPr>
                <w:rFonts w:eastAsia="Calibri"/>
                <w:bCs/>
                <w:szCs w:val="24"/>
              </w:rPr>
              <w:t xml:space="preserve">Deleguotojo reglamento (ES) 2021/2139 I priedo 8 skyriaus atitinkamuose skirsniuose ir II priedo 8 skyriaus atitinkamuose skirsniuose </w:t>
            </w:r>
            <w:r>
              <w:rPr>
                <w:color w:val="000000"/>
                <w:szCs w:val="24"/>
              </w:rPr>
              <w:t>nustatyti techninės analizės 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hideMark/>
          </w:tcPr>
          <w:p w14:paraId="6A30AF60" w14:textId="77777777" w:rsidR="00767E22" w:rsidRDefault="00767E22">
            <w:pPr>
              <w:jc w:val="both"/>
              <w:rPr>
                <w:rFonts w:eastAsia="Calibri"/>
                <w:iCs/>
                <w:szCs w:val="24"/>
              </w:rPr>
            </w:pPr>
            <w:r>
              <w:rPr>
                <w:rFonts w:eastAsia="Calibri"/>
                <w:bCs/>
                <w:szCs w:val="24"/>
              </w:rPr>
              <w:t xml:space="preserve">Siekiant užtikrinti Deleguotojo reglamento (ES) 2021/2139 I ir II priedo atitinkamuose skirsniuose atitinkamiems veiksmams (veikloms) taikomų  nuostatų įgyvendinimą (pvz., įsigyjant IT įrangą – taikomi Deleguotojo reglamento (ES) 2021/2139 I ir II priedo 8 skyriaus atitinkamuose skirsniuose nustatyti techninės analizės kriterijai ir t. t.), pareiškėjas privalo pateikti dokumentus, įrodančius įgyjamos IT įrangos atitikimą Deleguotojo reglamento (ES) 2021/2139 I ir II priedo 8 skyriaus atitinkamuose skirsniuose nustatytiems techninės analizės kriterijams. Tai gali būti pirkimo dokumentai, įrangos aprašymai, techninės specifikacijos ir kiti dokumentai. Taip pat turi būti pateikti dokumentai, įrodantys įrangos atitikimą reikalavimams, nustatytiems </w:t>
            </w:r>
            <w:r>
              <w:rPr>
                <w:rFonts w:eastAsia="Calibri"/>
                <w:iCs/>
                <w:szCs w:val="24"/>
              </w:rPr>
              <w:t>Direktyvoje 2009/125/EB ir įrodančius dokumentus, kad naudojamoje įrangoje nėra Direktyvos 2011/65/ES II priede išvardytų ribojamų medžiagų, išskyrus atvejus, kai homogeninių medžiagų koncentracijos vertės pagal masę neviršija Direktyvos 2011/65/ES II priede  išvardytų didžiausių verčių.</w:t>
            </w:r>
          </w:p>
          <w:p w14:paraId="68C4D40F" w14:textId="77777777" w:rsidR="00767E22" w:rsidRDefault="00767E22">
            <w:pPr>
              <w:jc w:val="both"/>
              <w:rPr>
                <w:rFonts w:eastAsia="Calibri"/>
                <w:bCs/>
                <w:szCs w:val="24"/>
              </w:rPr>
            </w:pPr>
            <w:r>
              <w:rPr>
                <w:szCs w:val="24"/>
              </w:rPr>
              <w:t xml:space="preserve">Tais atvejais, kai įgyvendinami veiksmai (veiklos), kuriems dėl jų pobūdžio netaikomi pirmiau nurodytų teisės aktų konkretūs reikalavimai, teikiama tik projekto vykdytojo deklaracija, patvirtinanti projekto atitiktį reikšmingos žalos nedarymo </w:t>
            </w:r>
            <w:r>
              <w:rPr>
                <w:szCs w:val="24"/>
              </w:rPr>
              <w:lastRenderedPageBreak/>
              <w:t>principui (papildomi dokumentai neteikiami).</w:t>
            </w:r>
          </w:p>
        </w:tc>
      </w:tr>
      <w:tr w:rsidR="00767E22" w14:paraId="708D1B6A" w14:textId="77777777" w:rsidTr="00767E22">
        <w:tc>
          <w:tcPr>
            <w:tcW w:w="3516" w:type="dxa"/>
            <w:tcBorders>
              <w:top w:val="single" w:sz="4" w:space="0" w:color="auto"/>
              <w:left w:val="single" w:sz="4" w:space="0" w:color="auto"/>
              <w:bottom w:val="single" w:sz="4" w:space="0" w:color="auto"/>
              <w:right w:val="single" w:sz="4" w:space="0" w:color="auto"/>
            </w:tcBorders>
            <w:hideMark/>
          </w:tcPr>
          <w:p w14:paraId="6E32BC37" w14:textId="77777777" w:rsidR="00767E22" w:rsidRDefault="00767E22">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7150" w:type="dxa"/>
            <w:tcBorders>
              <w:top w:val="single" w:sz="4" w:space="0" w:color="auto"/>
              <w:left w:val="single" w:sz="4" w:space="0" w:color="auto"/>
              <w:bottom w:val="single" w:sz="4" w:space="0" w:color="auto"/>
              <w:right w:val="single" w:sz="4" w:space="0" w:color="auto"/>
            </w:tcBorders>
            <w:hideMark/>
          </w:tcPr>
          <w:p w14:paraId="2B6B6DF0" w14:textId="77777777" w:rsidR="00767E22" w:rsidRDefault="00767E22">
            <w:pPr>
              <w:jc w:val="both"/>
              <w:rPr>
                <w:rFonts w:eastAsia="Calibri"/>
                <w:bCs/>
                <w:szCs w:val="24"/>
              </w:rPr>
            </w:pPr>
            <w:r>
              <w:rPr>
                <w:rFonts w:eastAsia="Calibri"/>
                <w:bCs/>
                <w:szCs w:val="24"/>
              </w:rPr>
              <w:t>Vertinama, kad planuojami įgyvendinti veiksmai (veiklos) neturės jokio neigiamo tiesioginio ar netiesioginio poveikio žiedinės ekonomikos, įskaitant atliekų prevenciją ir perdirbimą, tikslui.</w:t>
            </w:r>
          </w:p>
          <w:p w14:paraId="53654FA7" w14:textId="77777777" w:rsidR="00767E22" w:rsidRDefault="00767E22">
            <w:pPr>
              <w:jc w:val="both"/>
              <w:rPr>
                <w:szCs w:val="24"/>
              </w:rPr>
            </w:pPr>
            <w:r>
              <w:rPr>
                <w:rFonts w:eastAsia="Calibri"/>
                <w:bCs/>
                <w:szCs w:val="24"/>
              </w:rPr>
              <w:t xml:space="preserve">Bus investuojama į MVĮ skaitmeninimą, prioritetą teikiant </w:t>
            </w:r>
            <w:r>
              <w:rPr>
                <w:szCs w:val="24"/>
              </w:rPr>
              <w:t>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70AD8DBC" w14:textId="77777777" w:rsidR="00767E22" w:rsidRDefault="00767E22">
            <w:pPr>
              <w:jc w:val="both"/>
              <w:rPr>
                <w:rFonts w:eastAsia="Calibri"/>
                <w:iCs/>
                <w:szCs w:val="24"/>
              </w:rPr>
            </w:pPr>
            <w:r>
              <w:rPr>
                <w:rFonts w:eastAsia="Calibri"/>
                <w:iCs/>
                <w:szCs w:val="24"/>
              </w:rPr>
              <w:t>Naudojama įranga atitinka serveriams ir duomenų saugojimo produktams taikomus reikalavimus, nustatytus Direktyvoje 2009/125/EB. Naudojamoje įrangoje nėra Direktyvos 2011/65/ES II priede išvardytų ribojamų medžiagų, išskyrus atvejus, kai homogeninių medžiagų koncentracijos vertės pagal masę neviršija Direktyvos 2011/65/ES II priede išvardytų didžiausių verčių.</w:t>
            </w:r>
          </w:p>
          <w:p w14:paraId="4D235DDB" w14:textId="77777777" w:rsidR="00767E22" w:rsidRDefault="00767E22">
            <w:pPr>
              <w:jc w:val="both"/>
              <w:rPr>
                <w:rFonts w:eastAsia="Calibri"/>
                <w:iCs/>
                <w:szCs w:val="24"/>
              </w:rPr>
            </w:pPr>
            <w:r>
              <w:rPr>
                <w:rFonts w:eastAsia="Calibri"/>
                <w:iCs/>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2012 m. liepos 4 d. Europos Parlamento ir Tarybos direktyvos 2012/19/ES dėl elektros ir elektroninės įrangos atliekų</w:t>
            </w:r>
            <w:r>
              <w:t xml:space="preserve"> </w:t>
            </w:r>
            <w:r>
              <w:rPr>
                <w:rFonts w:eastAsia="Calibri"/>
                <w:iCs/>
                <w:szCs w:val="24"/>
              </w:rPr>
              <w:t>(nauja redakcija) su visais pakeitimais VII priedą.</w:t>
            </w:r>
          </w:p>
          <w:p w14:paraId="60D47E70" w14:textId="77777777" w:rsidR="00767E22" w:rsidRDefault="00767E22">
            <w:pPr>
              <w:jc w:val="both"/>
              <w:rPr>
                <w:rFonts w:eastAsia="Calibri"/>
                <w:bCs/>
                <w:szCs w:val="24"/>
              </w:rPr>
            </w:pPr>
            <w:r>
              <w:rPr>
                <w:color w:val="000000"/>
                <w:szCs w:val="24"/>
              </w:rPr>
              <w:t>Įgyvendinant veiksmus (veiklas) bus vadovaujamasi Deleguotojo reglamento (ES) 2021/2139 I priedo ir II priedo atitinkamuose skirsniuose (pvz., įsigyjant IT įrangą – taikomi Deleguotojo reglamento (ES) 2021/2139 I ir II priedo 8 skyriaus atitinkamuose skirsniuose nustatyti techninės analizės 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hideMark/>
          </w:tcPr>
          <w:p w14:paraId="53036D65" w14:textId="77777777" w:rsidR="00767E22" w:rsidRDefault="00767E22">
            <w:pPr>
              <w:jc w:val="both"/>
              <w:rPr>
                <w:rFonts w:eastAsia="Calibri"/>
                <w:iCs/>
                <w:szCs w:val="24"/>
              </w:rPr>
            </w:pPr>
            <w:r>
              <w:rPr>
                <w:rFonts w:eastAsia="Calibri"/>
                <w:bCs/>
                <w:szCs w:val="24"/>
              </w:rPr>
              <w:t xml:space="preserve">Siekiant užtikrinti Deleguotojo reglamento (ES) 2021/2139 I ir II priedo atitinkamuose skirsniuose atitinkamiems veiksmams (veikloms) taikomų  nuostatų įgyvendinimą (pvz., įsigyjant IT įrangą – taikomi Deleguotojo reglamento (ES) 2021/2139 I ir II priedo 8 skyriaus atitinkamuose skirsniuose nustatyti techninės analizės kriterijai ir t. t.), pareiškėjas privalo pateikti dokumentus, įrodančius įgyjamos IT įrangos atitikimą Deleguotojo reglamento (ES) 2021/2139 I ir II priedo 8 skyriaus atitinkamuose skirsniuose nustatytiems techninės analizės kriterijams. Tai gali būti pirkimo dokumentai, įrangos aprašymai, techninės specifikacijos ir kiti dokumentai. Taip pat turi būti pateikti dokumentai, įrodantys įrangos atitikimą reikalavimams, nustatytiems </w:t>
            </w:r>
            <w:r>
              <w:rPr>
                <w:rFonts w:eastAsia="Calibri"/>
                <w:iCs/>
                <w:szCs w:val="24"/>
              </w:rPr>
              <w:t>Direktyvoje 2009/125/EB ir įrodančius dokumentus, kad naudojamoje įrangoje nėra  Direktyvos 2011/65/ES II priede išvardytų ribojamų medžiagų, išskyrus atvejus, kai homogeninių medžiagų koncentracijos vertės pagal masę neviršija Direktyvos 2011/65/ES II priede išvardytų didžiausių verčių.</w:t>
            </w:r>
          </w:p>
          <w:p w14:paraId="4588AC4F" w14:textId="77777777" w:rsidR="00767E22" w:rsidRDefault="00767E22">
            <w:pPr>
              <w:jc w:val="both"/>
              <w:rPr>
                <w:rFonts w:eastAsia="Calibri"/>
                <w:iCs/>
                <w:szCs w:val="24"/>
              </w:rPr>
            </w:pPr>
            <w:r>
              <w:rPr>
                <w:rFonts w:eastAsia="Calibri"/>
                <w:szCs w:val="24"/>
              </w:rPr>
              <w:t xml:space="preserve">Taip pat pareiškėjas turi būti pasirengęs atliekų tvarkymo planą pagal </w:t>
            </w:r>
            <w:r>
              <w:rPr>
                <w:rFonts w:eastAsia="Calibri"/>
                <w:iCs/>
                <w:szCs w:val="24"/>
              </w:rPr>
              <w:t>Direktyvos 2012/19/ES VII priedą, ir administruojančiajai institucijai paprašius, pateikti jį peržiūrai.</w:t>
            </w:r>
          </w:p>
          <w:p w14:paraId="27472CC4" w14:textId="77777777" w:rsidR="00767E22" w:rsidRDefault="00767E22">
            <w:pPr>
              <w:jc w:val="both"/>
              <w:rPr>
                <w:rFonts w:eastAsia="Calibri"/>
                <w:szCs w:val="24"/>
              </w:rPr>
            </w:pPr>
            <w:r>
              <w:rPr>
                <w:szCs w:val="24"/>
              </w:rPr>
              <w:lastRenderedPageBreak/>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767E22" w14:paraId="59209B84" w14:textId="77777777" w:rsidTr="00767E22">
        <w:tc>
          <w:tcPr>
            <w:tcW w:w="3516" w:type="dxa"/>
            <w:tcBorders>
              <w:top w:val="single" w:sz="4" w:space="0" w:color="auto"/>
              <w:left w:val="single" w:sz="4" w:space="0" w:color="auto"/>
              <w:bottom w:val="single" w:sz="4" w:space="0" w:color="auto"/>
              <w:right w:val="single" w:sz="4" w:space="0" w:color="auto"/>
            </w:tcBorders>
            <w:hideMark/>
          </w:tcPr>
          <w:p w14:paraId="7061A4E5" w14:textId="77777777" w:rsidR="00767E22" w:rsidRDefault="00767E22">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7150" w:type="dxa"/>
            <w:tcBorders>
              <w:top w:val="single" w:sz="4" w:space="0" w:color="auto"/>
              <w:left w:val="single" w:sz="4" w:space="0" w:color="auto"/>
              <w:bottom w:val="single" w:sz="4" w:space="0" w:color="auto"/>
              <w:right w:val="single" w:sz="4" w:space="0" w:color="auto"/>
            </w:tcBorders>
            <w:hideMark/>
          </w:tcPr>
          <w:p w14:paraId="6CFFDAE7" w14:textId="77777777" w:rsidR="00767E22" w:rsidRDefault="00767E22">
            <w:pPr>
              <w:jc w:val="both"/>
              <w:rPr>
                <w:szCs w:val="24"/>
              </w:rPr>
            </w:pPr>
            <w:r>
              <w:rPr>
                <w:szCs w:val="24"/>
              </w:rPr>
              <w:t>Vertinama, kad planuojami įgyvendinti veiksmai (veiklos) (dėl savo pobūdžio) neturės reikšmingo neigiamo tiesioginio ir netiesioginio poveikio šiam aplinkos tikslui,</w:t>
            </w:r>
            <w:r>
              <w:t xml:space="preserve"> </w:t>
            </w:r>
            <w:r>
              <w:rPr>
                <w:szCs w:val="24"/>
              </w:rPr>
              <w:t>todėl laikoma, kad šie veiksmai (veiklos)atitinka oro, vandens ar žemės taršos prevencijos ir kontrolės tikslą.</w:t>
            </w:r>
          </w:p>
          <w:p w14:paraId="2E7DB78C" w14:textId="77777777" w:rsidR="00767E22" w:rsidRDefault="00767E22">
            <w:pPr>
              <w:jc w:val="both"/>
              <w:rPr>
                <w:rFonts w:eastAsia="Calibri"/>
                <w:szCs w:val="24"/>
              </w:rPr>
            </w:pPr>
            <w:r>
              <w:rPr>
                <w:rFonts w:eastAsia="Calibri"/>
                <w:szCs w:val="24"/>
              </w:rPr>
              <w:t>Bus investuojama į MVĮ skaitmeninimą, prioritetą teikiant 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27F7316E" w14:textId="77777777" w:rsidR="00767E22" w:rsidRDefault="00767E22">
            <w:pPr>
              <w:jc w:val="both"/>
              <w:rPr>
                <w:rFonts w:eastAsia="Calibri"/>
                <w:iCs/>
                <w:szCs w:val="24"/>
              </w:rPr>
            </w:pPr>
            <w:r>
              <w:rPr>
                <w:rFonts w:eastAsia="Calibri"/>
                <w:iCs/>
                <w:szCs w:val="24"/>
              </w:rPr>
              <w:t>Naudojama įranga atitinka serveriams ir duomenų saugojimo produktams taikomus reikalavimus, nustatytus Direktyvoje 2009/125/EB. Naudojamoje įrangoje nėra Direktyvos 2011/65/ES II priede išvardytų ribojamų medžiagų, išskyrus atvejus, kai homogeninių medžiagų koncentracijos vertės pagal masę neviršija Direktyvos 2011/65/ES II priede išvardytų didžiausių verčių.</w:t>
            </w:r>
          </w:p>
          <w:p w14:paraId="51300BF2" w14:textId="77777777" w:rsidR="00767E22" w:rsidRDefault="00767E22">
            <w:pPr>
              <w:jc w:val="both"/>
              <w:rPr>
                <w:rFonts w:eastAsia="Calibri"/>
                <w:bCs/>
                <w:szCs w:val="24"/>
              </w:rPr>
            </w:pPr>
            <w:r>
              <w:rPr>
                <w:rFonts w:eastAsia="Calibri"/>
                <w:bCs/>
                <w:szCs w:val="24"/>
              </w:rPr>
              <w:t xml:space="preserve">Įgyvendinat veiksmus (veiklas) bus laikomasi reikalavimų, nustatytų Europos duomenų centro energijos vartojimo efektyvumo elgesio kodekse, skelbiamame interneto svetainėje </w:t>
            </w:r>
            <w:r>
              <w:rPr>
                <w:rFonts w:eastAsia="Calibri"/>
              </w:rPr>
              <w:t>https://e3p.jrc.ec.europa.eu/publications/2021-best-practice-guidelines-eu-code-conduct-data-centre-energy-efficiency</w:t>
            </w:r>
            <w:r>
              <w:rPr>
                <w:rFonts w:eastAsia="Calibri"/>
                <w:bCs/>
                <w:szCs w:val="24"/>
              </w:rPr>
              <w:t xml:space="preserve"> ir kituose dokumentuose, nurodytuose Deleguotajame reglamente (ES) 2021/2139, nustatytų reikalavimų.</w:t>
            </w:r>
          </w:p>
          <w:p w14:paraId="3B472B97" w14:textId="77777777" w:rsidR="00767E22" w:rsidRDefault="00767E22">
            <w:pPr>
              <w:jc w:val="both"/>
              <w:rPr>
                <w:rFonts w:eastAsia="Calibri"/>
                <w:b/>
                <w:szCs w:val="24"/>
              </w:rPr>
            </w:pPr>
            <w:r>
              <w:rPr>
                <w:color w:val="000000"/>
                <w:szCs w:val="24"/>
              </w:rPr>
              <w:t xml:space="preserve">Įgyvendinant veiksmus (veiklas) bus vadovaujamasi Deleguotojo reglamento (ES) 2021/2139 I priedo ir II priedo atitinkamuose </w:t>
            </w:r>
            <w:r>
              <w:rPr>
                <w:color w:val="000000"/>
                <w:szCs w:val="24"/>
              </w:rPr>
              <w:lastRenderedPageBreak/>
              <w:t>skirsniuose (pvz., įsigyjant IT įrangą – taikomi Deleguotojo reglamento (ES) 2021/2139 I ir II priedo 8 skyriaus atitinkamuose skirsniuose nustatyti techninės analizės 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hideMark/>
          </w:tcPr>
          <w:p w14:paraId="3460102E" w14:textId="77777777" w:rsidR="00767E22" w:rsidRDefault="00767E22">
            <w:pPr>
              <w:jc w:val="both"/>
              <w:rPr>
                <w:rFonts w:eastAsia="Calibri"/>
                <w:iCs/>
                <w:szCs w:val="24"/>
              </w:rPr>
            </w:pPr>
            <w:r>
              <w:rPr>
                <w:rFonts w:eastAsia="Calibri"/>
                <w:bCs/>
                <w:szCs w:val="24"/>
              </w:rPr>
              <w:lastRenderedPageBreak/>
              <w:t xml:space="preserve">Siekiant užtikrinti Deleguotojo reglamento (ES) 2021/2139 I ir II priedo atitinkamuose skirsniuose atitinkamiems veiksmams (veikloms) taikomų  nuostatų įgyvendinimą (pvz., įsigyjant IT įrangą – taikomi Deleguotojo reglamento (ES) 2021/2139 I ir II priedo 8 skyriaus atitinkamuose skirsniuose nustatyti techninės analizės kriterijai ir t. t.), pareiškėjas privalo pateikti dokumentus, įrodančius įgyjamos IT įrangos atitikimą Deleguotojo reglamento (ES) 2021/2139 I ir II priedo 8 skyriaus atitinkamuose skirsniuose nustatytiems techninės analizės kriterijams. Tai gali būti pirkimo dokumentai, įrangos aprašymai, techninės specifikacijos ir kiti dokumentai. Taip pat turi būti pateikti dokumentai, įrodantys įrangos atitikimą reikalavimams, nustatytiems </w:t>
            </w:r>
            <w:r>
              <w:rPr>
                <w:rFonts w:eastAsia="Calibri"/>
                <w:iCs/>
                <w:szCs w:val="24"/>
              </w:rPr>
              <w:t>Direktyvoje 2009/125/EB ir įrodančius dokumentus, kad naudojamoje įrangoje nėra Direktyvos 2011/65/ES II priede išvardytų ribojamų medžiagų, išskyrus atvejus, kai homogeninių medžiagų koncentracijos vertės pagal masę neviršija Direktyvos 2011/65/ES ( 309 ) II priede išvardytų didžiausių verčių.</w:t>
            </w:r>
          </w:p>
          <w:p w14:paraId="645983C2" w14:textId="77777777" w:rsidR="00767E22" w:rsidRDefault="00767E22">
            <w:pPr>
              <w:jc w:val="both"/>
              <w:rPr>
                <w:rFonts w:eastAsia="Calibri"/>
                <w:szCs w:val="24"/>
              </w:rPr>
            </w:pPr>
            <w:r>
              <w:rPr>
                <w:szCs w:val="24"/>
              </w:rPr>
              <w:lastRenderedPageBreak/>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767E22" w14:paraId="46D92B1B" w14:textId="77777777" w:rsidTr="00767E22">
        <w:tc>
          <w:tcPr>
            <w:tcW w:w="3516" w:type="dxa"/>
            <w:tcBorders>
              <w:top w:val="single" w:sz="4" w:space="0" w:color="auto"/>
              <w:left w:val="single" w:sz="4" w:space="0" w:color="auto"/>
              <w:bottom w:val="single" w:sz="4" w:space="0" w:color="auto"/>
              <w:right w:val="single" w:sz="4" w:space="0" w:color="auto"/>
            </w:tcBorders>
            <w:hideMark/>
          </w:tcPr>
          <w:p w14:paraId="52FB0253" w14:textId="77777777" w:rsidR="00767E22" w:rsidRDefault="00767E22">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7150" w:type="dxa"/>
            <w:tcBorders>
              <w:top w:val="single" w:sz="4" w:space="0" w:color="auto"/>
              <w:left w:val="single" w:sz="4" w:space="0" w:color="auto"/>
              <w:bottom w:val="single" w:sz="4" w:space="0" w:color="auto"/>
              <w:right w:val="single" w:sz="4" w:space="0" w:color="auto"/>
            </w:tcBorders>
            <w:hideMark/>
          </w:tcPr>
          <w:p w14:paraId="02950F29" w14:textId="77777777" w:rsidR="00767E22" w:rsidRDefault="00767E22">
            <w:pPr>
              <w:jc w:val="both"/>
              <w:rPr>
                <w:rFonts w:eastAsia="Calibri"/>
                <w:bCs/>
                <w:szCs w:val="24"/>
              </w:rPr>
            </w:pPr>
            <w:r>
              <w:rPr>
                <w:rFonts w:eastAsia="Calibri"/>
                <w:bCs/>
                <w:szCs w:val="24"/>
              </w:rPr>
              <w:t>Vertinama, kad planuojami įgyvendinti veiksmai (veiklos) (dėl savo pobūdžio) neturės jokio neigiamo tiesioginio ir netiesioginio poveikio šiam aplinkos tikslui, nes nenumatoma kurti ar modernizuoti infrastruktūrą „</w:t>
            </w:r>
            <w:proofErr w:type="spellStart"/>
            <w:r>
              <w:rPr>
                <w:rFonts w:eastAsia="Calibri"/>
                <w:bCs/>
                <w:szCs w:val="24"/>
              </w:rPr>
              <w:t>Natura</w:t>
            </w:r>
            <w:proofErr w:type="spellEnd"/>
            <w:r>
              <w:rPr>
                <w:rFonts w:eastAsia="Calibri"/>
                <w:bCs/>
                <w:szCs w:val="24"/>
              </w:rPr>
              <w:t xml:space="preserve"> 2000“ UNESCO pasaulinio paveldo ar kitose saugomose teritorijose.</w:t>
            </w:r>
            <w:r>
              <w:t xml:space="preserve"> </w:t>
            </w:r>
            <w:r>
              <w:rPr>
                <w:rFonts w:eastAsia="Calibri"/>
                <w:bCs/>
                <w:szCs w:val="24"/>
              </w:rPr>
              <w:t>Todėl laikoma, kad šie veiksmai (veiklos) atitinka biologinės įvairovės ir ekosistemų apsaugos ir atkūrimo tikslą.</w:t>
            </w:r>
          </w:p>
          <w:p w14:paraId="2B7345AD" w14:textId="77777777" w:rsidR="00767E22" w:rsidRDefault="00767E22">
            <w:pPr>
              <w:jc w:val="both"/>
              <w:rPr>
                <w:szCs w:val="24"/>
              </w:rPr>
            </w:pPr>
            <w:r>
              <w:rPr>
                <w:rFonts w:eastAsia="Calibri"/>
                <w:bCs/>
                <w:szCs w:val="24"/>
              </w:rPr>
              <w:t xml:space="preserve">Bus investuojama į MVĮ skaitmeninimą, prioritetą teikiant </w:t>
            </w:r>
            <w:r>
              <w:rPr>
                <w:szCs w:val="24"/>
              </w:rPr>
              <w:t>tokių e. 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0044D705" w14:textId="77777777" w:rsidR="00767E22" w:rsidRDefault="00767E22">
            <w:pPr>
              <w:jc w:val="both"/>
              <w:rPr>
                <w:rFonts w:eastAsia="Calibri"/>
                <w:b/>
                <w:szCs w:val="24"/>
              </w:rPr>
            </w:pPr>
            <w:r>
              <w:rPr>
                <w:color w:val="000000"/>
                <w:szCs w:val="24"/>
              </w:rPr>
              <w:t xml:space="preserve">Įgyvendinant </w:t>
            </w:r>
            <w:proofErr w:type="spellStart"/>
            <w:r>
              <w:rPr>
                <w:color w:val="000000"/>
                <w:szCs w:val="24"/>
              </w:rPr>
              <w:t>poveikles</w:t>
            </w:r>
            <w:proofErr w:type="spellEnd"/>
            <w:r>
              <w:rPr>
                <w:color w:val="000000"/>
                <w:szCs w:val="24"/>
              </w:rPr>
              <w:t xml:space="preserve"> bus vadovaujamasi Deleguotojo reglamento (ES) 2021/2139 I priedo ir II priedo atitinkamuose punktuose (pvz., įsigyjant IT įrangą – taikomi Deleguotojo reglamento (ES) 2021/2139 I ir II priedo 8 skyriaus atitinkamuose skirsniuose nustatyti techninės analizės kriterijai ir t.  t.)  nustatytais reikalavimais, tai numatant atitinkamuose dokumentuose (pvz., pirkimo ir kt. dokumentuose).</w:t>
            </w:r>
          </w:p>
        </w:tc>
        <w:tc>
          <w:tcPr>
            <w:tcW w:w="4502" w:type="dxa"/>
            <w:tcBorders>
              <w:top w:val="single" w:sz="4" w:space="0" w:color="auto"/>
              <w:left w:val="single" w:sz="4" w:space="0" w:color="auto"/>
              <w:bottom w:val="single" w:sz="4" w:space="0" w:color="auto"/>
              <w:right w:val="single" w:sz="4" w:space="0" w:color="auto"/>
            </w:tcBorders>
            <w:hideMark/>
          </w:tcPr>
          <w:p w14:paraId="6BF984C6" w14:textId="77777777" w:rsidR="00767E22" w:rsidRDefault="00767E22">
            <w:pPr>
              <w:jc w:val="both"/>
              <w:rPr>
                <w:rFonts w:eastAsia="Calibri"/>
                <w:bCs/>
                <w:szCs w:val="24"/>
              </w:rPr>
            </w:pPr>
            <w:r>
              <w:rPr>
                <w:rFonts w:eastAsia="Calibri"/>
                <w:bCs/>
                <w:szCs w:val="24"/>
              </w:rPr>
              <w:t>Siekiant užtikrinti Deleguotojo reglamento (ES) 2021/2139 I ir II priedo atitinkamuose skirsniuose atitinkamiems veiksmams (veikloms) taikomų  nuostatų įgyvendinimą (pvz., įsigyjant IT įrangą – taikomi Deleguotojo reglamento (ES) 2021/2139 I ir II priedo 8 skyriaus atitinkamuose skirsniuose nustatyti techninės analizės kriterijai ir t. t.), pareiškėjas privalo pateikti dokumentus, įrodančius įgyjamos IT įrangos atitikimą Deleguotojo reglamento (ES) 2021/2139 I ir II priedo 8 skyriaus atitinkamuose skirsniuose nustatytiems techninės analizės kriterijams.  Tai gali būti pirkimo dokumentai, įrangos aprašymai, techninės specifikacijos ir kiti dokumentai.</w:t>
            </w:r>
          </w:p>
          <w:p w14:paraId="5E679558" w14:textId="77777777" w:rsidR="00767E22" w:rsidRDefault="00767E22">
            <w:pPr>
              <w:jc w:val="both"/>
              <w:rPr>
                <w:rFonts w:eastAsia="Calibri"/>
                <w:szCs w:val="24"/>
              </w:rPr>
            </w:pPr>
            <w:r>
              <w:rPr>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bl>
    <w:p w14:paraId="1457985B" w14:textId="77777777" w:rsidR="00767E22" w:rsidRDefault="00767E22" w:rsidP="00767E22">
      <w:pPr>
        <w:jc w:val="center"/>
        <w:rPr>
          <w:szCs w:val="24"/>
        </w:rPr>
      </w:pPr>
    </w:p>
    <w:p w14:paraId="5CB48B25" w14:textId="10744001" w:rsidR="001059C7" w:rsidRPr="00767E22" w:rsidRDefault="00767E22" w:rsidP="00767E22">
      <w:pPr>
        <w:jc w:val="center"/>
        <w:rPr>
          <w:szCs w:val="24"/>
        </w:rPr>
      </w:pPr>
      <w:r>
        <w:rPr>
          <w:szCs w:val="24"/>
        </w:rPr>
        <w:t>_________________________________</w:t>
      </w:r>
    </w:p>
    <w:sectPr w:rsidR="001059C7" w:rsidRPr="00767E22" w:rsidSect="00136A5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67"/>
    <w:rsid w:val="001059C7"/>
    <w:rsid w:val="00136A57"/>
    <w:rsid w:val="002247FE"/>
    <w:rsid w:val="003F3CAF"/>
    <w:rsid w:val="00426058"/>
    <w:rsid w:val="00433830"/>
    <w:rsid w:val="00443C8B"/>
    <w:rsid w:val="004A7967"/>
    <w:rsid w:val="0052540B"/>
    <w:rsid w:val="00560F7A"/>
    <w:rsid w:val="005D06F7"/>
    <w:rsid w:val="00767E22"/>
    <w:rsid w:val="00825C07"/>
    <w:rsid w:val="009F6D6F"/>
    <w:rsid w:val="00A93651"/>
    <w:rsid w:val="00B234F0"/>
    <w:rsid w:val="00DD2AED"/>
    <w:rsid w:val="00F729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1EEF"/>
  <w15:chartTrackingRefBased/>
  <w15:docId w15:val="{A6CB07DA-77A3-4F1E-BC6B-FCF635F7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A5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9F6D6F"/>
    <w:pPr>
      <w:spacing w:before="100" w:beforeAutospacing="1" w:after="100" w:afterAutospacing="1"/>
    </w:pPr>
    <w:rPr>
      <w:szCs w:val="24"/>
      <w:lang w:eastAsia="lt-LT"/>
    </w:rPr>
  </w:style>
  <w:style w:type="character" w:customStyle="1" w:styleId="normaltextrun">
    <w:name w:val="normaltextrun"/>
    <w:basedOn w:val="Numatytasispastraiposriftas"/>
    <w:rsid w:val="009F6D6F"/>
  </w:style>
  <w:style w:type="character" w:customStyle="1" w:styleId="tabchar">
    <w:name w:val="tabchar"/>
    <w:basedOn w:val="Numatytasispastraiposriftas"/>
    <w:rsid w:val="009F6D6F"/>
  </w:style>
  <w:style w:type="character" w:customStyle="1" w:styleId="eop">
    <w:name w:val="eop"/>
    <w:basedOn w:val="Numatytasispastraiposriftas"/>
    <w:rsid w:val="009F6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55480">
      <w:bodyDiv w:val="1"/>
      <w:marLeft w:val="0"/>
      <w:marRight w:val="0"/>
      <w:marTop w:val="0"/>
      <w:marBottom w:val="0"/>
      <w:divBdr>
        <w:top w:val="none" w:sz="0" w:space="0" w:color="auto"/>
        <w:left w:val="none" w:sz="0" w:space="0" w:color="auto"/>
        <w:bottom w:val="none" w:sz="0" w:space="0" w:color="auto"/>
        <w:right w:val="none" w:sz="0" w:space="0" w:color="auto"/>
      </w:divBdr>
      <w:divsChild>
        <w:div w:id="1185481347">
          <w:marLeft w:val="0"/>
          <w:marRight w:val="0"/>
          <w:marTop w:val="0"/>
          <w:marBottom w:val="0"/>
          <w:divBdr>
            <w:top w:val="none" w:sz="0" w:space="0" w:color="auto"/>
            <w:left w:val="none" w:sz="0" w:space="0" w:color="auto"/>
            <w:bottom w:val="none" w:sz="0" w:space="0" w:color="auto"/>
            <w:right w:val="none" w:sz="0" w:space="0" w:color="auto"/>
          </w:divBdr>
        </w:div>
        <w:div w:id="1472017902">
          <w:marLeft w:val="0"/>
          <w:marRight w:val="0"/>
          <w:marTop w:val="0"/>
          <w:marBottom w:val="0"/>
          <w:divBdr>
            <w:top w:val="none" w:sz="0" w:space="0" w:color="auto"/>
            <w:left w:val="none" w:sz="0" w:space="0" w:color="auto"/>
            <w:bottom w:val="none" w:sz="0" w:space="0" w:color="auto"/>
            <w:right w:val="none" w:sz="0" w:space="0" w:color="auto"/>
          </w:divBdr>
        </w:div>
        <w:div w:id="1968656380">
          <w:marLeft w:val="0"/>
          <w:marRight w:val="0"/>
          <w:marTop w:val="0"/>
          <w:marBottom w:val="0"/>
          <w:divBdr>
            <w:top w:val="none" w:sz="0" w:space="0" w:color="auto"/>
            <w:left w:val="none" w:sz="0" w:space="0" w:color="auto"/>
            <w:bottom w:val="none" w:sz="0" w:space="0" w:color="auto"/>
            <w:right w:val="none" w:sz="0" w:space="0" w:color="auto"/>
          </w:divBdr>
        </w:div>
      </w:divsChild>
    </w:div>
    <w:div w:id="19030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F0F2C4B0-6215-4B87-98CB-56EEF4C02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C8580-DDB6-4D38-AD63-1A0C00DEE26E}">
  <ds:schemaRefs>
    <ds:schemaRef ds:uri="http://schemas.microsoft.com/sharepoint/v3/contenttype/forms"/>
  </ds:schemaRefs>
</ds:datastoreItem>
</file>

<file path=customXml/itemProps3.xml><?xml version="1.0" encoding="utf-8"?>
<ds:datastoreItem xmlns:ds="http://schemas.openxmlformats.org/officeDocument/2006/customXml" ds:itemID="{CE4218CF-7A9D-4A50-BC09-107854E59E0A}">
  <ds:schemaRef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7ed14601-a767-49df-87ac-319a5ad53ef2"/>
    <ds:schemaRef ds:uri="http://www.w3.org/XML/1998/namespace"/>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3097</Words>
  <Characters>17655</Characters>
  <Application>Microsoft Office Word</Application>
  <DocSecurity>0</DocSecurity>
  <Lines>147</Lines>
  <Paragraphs>41</Paragraphs>
  <ScaleCrop>false</ScaleCrop>
  <Company>LVPA</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Adomaitė</dc:creator>
  <cp:keywords/>
  <dc:description/>
  <cp:lastModifiedBy>Brigita Masiulienė</cp:lastModifiedBy>
  <cp:revision>11</cp:revision>
  <dcterms:created xsi:type="dcterms:W3CDTF">2023-04-17T12:48:00Z</dcterms:created>
  <dcterms:modified xsi:type="dcterms:W3CDTF">2023-06-26T16:41:00Z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