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52C65" w14:textId="284E22C6" w:rsidR="00B57C11" w:rsidRPr="00B471E3" w:rsidRDefault="000A0112" w:rsidP="00B471E3">
      <w:pPr>
        <w:spacing w:after="0" w:line="240" w:lineRule="auto"/>
        <w:jc w:val="center"/>
        <w:rPr>
          <w:rFonts w:ascii="Verdana" w:hAnsi="Verdana"/>
          <w:b/>
          <w:bCs/>
          <w:sz w:val="20"/>
          <w:szCs w:val="20"/>
          <w:lang w:val="lt-LT"/>
        </w:rPr>
      </w:pPr>
      <w:r w:rsidRPr="008F085C">
        <w:rPr>
          <w:rFonts w:ascii="Verdana" w:hAnsi="Verdana"/>
          <w:b/>
          <w:bCs/>
          <w:sz w:val="20"/>
          <w:szCs w:val="20"/>
          <w:lang w:val="lt-LT"/>
        </w:rPr>
        <w:t xml:space="preserve">KVIETIMAS </w:t>
      </w:r>
      <w:r w:rsidR="00B471E3" w:rsidRPr="00B471E3">
        <w:rPr>
          <w:rFonts w:ascii="Verdana" w:hAnsi="Verdana"/>
          <w:b/>
          <w:bCs/>
          <w:sz w:val="20"/>
          <w:szCs w:val="20"/>
          <w:lang w:val="lt-LT"/>
        </w:rPr>
        <w:t>„TUI IL“</w:t>
      </w:r>
    </w:p>
    <w:p w14:paraId="766C782F" w14:textId="77777777" w:rsidR="00B471E3" w:rsidRPr="00B471E3" w:rsidRDefault="00B471E3" w:rsidP="00B471E3">
      <w:pPr>
        <w:spacing w:after="0" w:line="240" w:lineRule="auto"/>
        <w:jc w:val="center"/>
        <w:rPr>
          <w:rFonts w:ascii="Times New Roman" w:eastAsia="Times New Roman" w:hAnsi="Times New Roman" w:cs="Times New Roman"/>
          <w:b/>
          <w:bCs/>
          <w:sz w:val="24"/>
          <w:szCs w:val="24"/>
        </w:rPr>
      </w:pPr>
    </w:p>
    <w:tbl>
      <w:tblPr>
        <w:tblStyle w:val="Lentelstinklelis"/>
        <w:tblW w:w="10627" w:type="dxa"/>
        <w:tblLayout w:type="fixed"/>
        <w:tblLook w:val="04A0" w:firstRow="1" w:lastRow="0" w:firstColumn="1" w:lastColumn="0" w:noHBand="0" w:noVBand="1"/>
      </w:tblPr>
      <w:tblGrid>
        <w:gridCol w:w="3256"/>
        <w:gridCol w:w="7371"/>
      </w:tblGrid>
      <w:tr w:rsidR="002737E5" w:rsidRPr="005850B1" w14:paraId="053E6101" w14:textId="77777777" w:rsidTr="65614C08">
        <w:tc>
          <w:tcPr>
            <w:tcW w:w="3256" w:type="dxa"/>
          </w:tcPr>
          <w:p w14:paraId="5F43F6B9" w14:textId="3238C602" w:rsidR="002737E5" w:rsidRPr="005850B1" w:rsidRDefault="00F42293">
            <w:pPr>
              <w:rPr>
                <w:rFonts w:ascii="Verdana" w:hAnsi="Verdana"/>
                <w:sz w:val="20"/>
                <w:szCs w:val="20"/>
                <w:lang w:val="lt-LT"/>
              </w:rPr>
            </w:pPr>
            <w:r w:rsidRPr="005850B1">
              <w:rPr>
                <w:rFonts w:ascii="Verdana" w:hAnsi="Verdana"/>
                <w:sz w:val="20"/>
                <w:szCs w:val="20"/>
                <w:lang w:val="lt-LT"/>
              </w:rPr>
              <w:t>Pažangos priemonės pavadinimas</w:t>
            </w:r>
          </w:p>
        </w:tc>
        <w:tc>
          <w:tcPr>
            <w:tcW w:w="7371" w:type="dxa"/>
          </w:tcPr>
          <w:p w14:paraId="4D5D0966" w14:textId="06529E26" w:rsidR="002737E5" w:rsidRPr="005850B1" w:rsidRDefault="00D42F77" w:rsidP="00D42F77">
            <w:pPr>
              <w:jc w:val="both"/>
              <w:rPr>
                <w:rFonts w:ascii="Verdana" w:hAnsi="Verdana"/>
                <w:bCs/>
                <w:sz w:val="20"/>
                <w:szCs w:val="20"/>
                <w:lang w:val="lt-LT"/>
              </w:rPr>
            </w:pPr>
            <w:r w:rsidRPr="005850B1">
              <w:rPr>
                <w:rFonts w:ascii="Verdana" w:hAnsi="Verdana" w:cs="Times New Roman"/>
                <w:bCs/>
                <w:sz w:val="20"/>
                <w:szCs w:val="20"/>
                <w:lang w:val="lt-LT" w:eastAsia="lt-LT"/>
              </w:rPr>
              <w:t>Sukurti nuoseklią inovacinės veiklos skatinimo sistemą</w:t>
            </w:r>
          </w:p>
        </w:tc>
      </w:tr>
      <w:tr w:rsidR="002737E5" w:rsidRPr="005850B1" w14:paraId="1DD92F67" w14:textId="77777777" w:rsidTr="65614C08">
        <w:trPr>
          <w:trHeight w:val="259"/>
        </w:trPr>
        <w:tc>
          <w:tcPr>
            <w:tcW w:w="3256" w:type="dxa"/>
          </w:tcPr>
          <w:p w14:paraId="0966DDB6" w14:textId="04D3B630" w:rsidR="002737E5" w:rsidRPr="005850B1" w:rsidRDefault="002737E5">
            <w:pPr>
              <w:rPr>
                <w:rFonts w:ascii="Verdana" w:hAnsi="Verdana"/>
                <w:sz w:val="20"/>
                <w:szCs w:val="20"/>
                <w:lang w:val="lt-LT"/>
              </w:rPr>
            </w:pPr>
            <w:r w:rsidRPr="005850B1">
              <w:rPr>
                <w:rFonts w:ascii="Verdana" w:hAnsi="Verdana"/>
                <w:sz w:val="20"/>
                <w:szCs w:val="20"/>
                <w:lang w:val="lt-LT"/>
              </w:rPr>
              <w:t>Kvietimo Nr.</w:t>
            </w:r>
          </w:p>
        </w:tc>
        <w:tc>
          <w:tcPr>
            <w:tcW w:w="7371" w:type="dxa"/>
          </w:tcPr>
          <w:p w14:paraId="4A54449E" w14:textId="30D4CA15" w:rsidR="002737E5" w:rsidRPr="005850B1" w:rsidRDefault="00D42F77" w:rsidP="0247FE8F">
            <w:pPr>
              <w:jc w:val="both"/>
              <w:rPr>
                <w:rFonts w:ascii="Verdana" w:hAnsi="Verdana"/>
                <w:sz w:val="20"/>
                <w:szCs w:val="20"/>
                <w:lang w:val="lt-LT"/>
              </w:rPr>
            </w:pPr>
            <w:r w:rsidRPr="0247FE8F">
              <w:rPr>
                <w:rStyle w:val="ui-provider"/>
                <w:rFonts w:ascii="Verdana" w:hAnsi="Verdana" w:cs="Times New Roman"/>
                <w:sz w:val="20"/>
                <w:szCs w:val="20"/>
                <w:lang w:val="lt-LT"/>
              </w:rPr>
              <w:t>02-02</w:t>
            </w:r>
            <w:r w:rsidR="60C8CB20" w:rsidRPr="0247FE8F">
              <w:rPr>
                <w:rStyle w:val="ui-provider"/>
                <w:rFonts w:ascii="Verdana" w:hAnsi="Verdana" w:cs="Times New Roman"/>
                <w:sz w:val="20"/>
                <w:szCs w:val="20"/>
                <w:lang w:val="lt-LT"/>
              </w:rPr>
              <w:t>9</w:t>
            </w:r>
            <w:r w:rsidRPr="0247FE8F">
              <w:rPr>
                <w:rStyle w:val="ui-provider"/>
                <w:rFonts w:ascii="Verdana" w:hAnsi="Verdana" w:cs="Times New Roman"/>
                <w:sz w:val="20"/>
                <w:szCs w:val="20"/>
                <w:lang w:val="lt-LT"/>
              </w:rPr>
              <w:t>-P</w:t>
            </w:r>
          </w:p>
        </w:tc>
      </w:tr>
      <w:tr w:rsidR="00D00CD6" w:rsidRPr="005850B1" w14:paraId="7AB6FC45" w14:textId="77777777" w:rsidTr="65614C08">
        <w:tc>
          <w:tcPr>
            <w:tcW w:w="3256" w:type="dxa"/>
          </w:tcPr>
          <w:p w14:paraId="1DB10661" w14:textId="5D007E90" w:rsidR="00D00CD6" w:rsidRPr="005850B1" w:rsidRDefault="004E6FB7">
            <w:pPr>
              <w:rPr>
                <w:rFonts w:ascii="Verdana" w:hAnsi="Verdana"/>
                <w:sz w:val="20"/>
                <w:szCs w:val="20"/>
                <w:lang w:val="lt-LT"/>
              </w:rPr>
            </w:pPr>
            <w:r w:rsidRPr="005850B1">
              <w:rPr>
                <w:rFonts w:ascii="Verdana" w:hAnsi="Verdana"/>
                <w:sz w:val="20"/>
                <w:szCs w:val="20"/>
                <w:lang w:val="lt-LT"/>
              </w:rPr>
              <w:t>Veiklos pavadinimas</w:t>
            </w:r>
          </w:p>
        </w:tc>
        <w:tc>
          <w:tcPr>
            <w:tcW w:w="7371" w:type="dxa"/>
          </w:tcPr>
          <w:p w14:paraId="2B4E6CF7" w14:textId="693E91DE" w:rsidR="00D00CD6" w:rsidRPr="005850B1" w:rsidRDefault="008F085C" w:rsidP="00D42F77">
            <w:pPr>
              <w:jc w:val="both"/>
              <w:rPr>
                <w:rFonts w:ascii="Verdana" w:hAnsi="Verdana"/>
                <w:sz w:val="20"/>
                <w:szCs w:val="20"/>
                <w:lang w:val="lt-LT"/>
              </w:rPr>
            </w:pPr>
            <w:r w:rsidRPr="005850B1">
              <w:rPr>
                <w:rFonts w:ascii="Verdana" w:hAnsi="Verdana" w:cs="Times New Roman"/>
                <w:sz w:val="20"/>
                <w:szCs w:val="20"/>
                <w:lang w:val="lt-LT"/>
              </w:rPr>
              <w:t xml:space="preserve">Skatinti aukštos pridėtinės vertės tiesioginių užsienio investicijų paieškos ir pritraukimo veiklas </w:t>
            </w:r>
            <w:r w:rsidR="005850B1" w:rsidRPr="005850B1">
              <w:rPr>
                <w:rFonts w:ascii="Verdana" w:hAnsi="Verdana" w:cs="Times New Roman"/>
                <w:sz w:val="20"/>
                <w:szCs w:val="20"/>
                <w:lang w:val="lt-LT"/>
              </w:rPr>
              <w:t>Lietuvoje</w:t>
            </w:r>
            <w:r w:rsidRPr="005850B1">
              <w:rPr>
                <w:rFonts w:ascii="Verdana" w:hAnsi="Verdana" w:cs="Times New Roman"/>
                <w:sz w:val="20"/>
                <w:szCs w:val="20"/>
                <w:lang w:val="lt-LT"/>
              </w:rPr>
              <w:t xml:space="preserve"> (Vidurio ir Vakarų Lietuvos regionas</w:t>
            </w:r>
            <w:r w:rsidRPr="005850B1">
              <w:rPr>
                <w:rFonts w:ascii="Verdana" w:eastAsia="Times New Roman" w:hAnsi="Verdana" w:cs="Times New Roman"/>
                <w:sz w:val="20"/>
                <w:szCs w:val="20"/>
                <w:lang w:val="lt-LT"/>
              </w:rPr>
              <w:t>)</w:t>
            </w:r>
          </w:p>
        </w:tc>
      </w:tr>
      <w:tr w:rsidR="002737E5" w:rsidRPr="005850B1" w14:paraId="5E9A9C94" w14:textId="77777777" w:rsidTr="65614C08">
        <w:tc>
          <w:tcPr>
            <w:tcW w:w="3256" w:type="dxa"/>
          </w:tcPr>
          <w:p w14:paraId="0C5E4A5A" w14:textId="532BF4DD" w:rsidR="002737E5" w:rsidRPr="005850B1" w:rsidRDefault="002737E5">
            <w:pPr>
              <w:rPr>
                <w:rFonts w:ascii="Verdana" w:hAnsi="Verdana"/>
                <w:sz w:val="20"/>
                <w:szCs w:val="20"/>
                <w:lang w:val="lt-LT"/>
              </w:rPr>
            </w:pPr>
            <w:r w:rsidRPr="005850B1">
              <w:rPr>
                <w:rFonts w:ascii="Verdana" w:hAnsi="Verdana"/>
                <w:sz w:val="20"/>
                <w:szCs w:val="20"/>
                <w:lang w:val="lt-LT"/>
              </w:rPr>
              <w:t>Finansuojamos veiklos</w:t>
            </w:r>
          </w:p>
        </w:tc>
        <w:tc>
          <w:tcPr>
            <w:tcW w:w="7371" w:type="dxa"/>
          </w:tcPr>
          <w:p w14:paraId="5E17302A" w14:textId="723DBA3B" w:rsidR="008F085C" w:rsidRPr="005850B1" w:rsidRDefault="3EB8C5F4" w:rsidP="49301670">
            <w:pPr>
              <w:tabs>
                <w:tab w:val="left" w:pos="426"/>
              </w:tabs>
              <w:jc w:val="both"/>
              <w:rPr>
                <w:rFonts w:ascii="Verdana" w:hAnsi="Verdana"/>
                <w:sz w:val="20"/>
                <w:szCs w:val="20"/>
                <w:lang w:val="lt-LT"/>
              </w:rPr>
            </w:pPr>
            <w:r w:rsidRPr="49301670">
              <w:rPr>
                <w:rFonts w:ascii="Verdana" w:hAnsi="Verdana"/>
                <w:sz w:val="20"/>
                <w:szCs w:val="20"/>
                <w:lang w:val="lt"/>
              </w:rPr>
              <w:t>Tiesioginių užsienio investicijų (toliau – TUI) pritraukimo į mokslinius tyrimus ir eksperimentinę plėtrą (toliau – MTEP) skatinimas: aukštos pridėtinės vertės (toliau – APV) TUI paieškos ir pritraukimo veiklų skatinimas  Lietuvoje (Vidurio ir vakarų Lietuvos regionas).</w:t>
            </w:r>
            <w:r w:rsidR="008F085C" w:rsidRPr="49301670">
              <w:rPr>
                <w:rFonts w:ascii="Verdana" w:hAnsi="Verdana"/>
                <w:sz w:val="20"/>
                <w:szCs w:val="20"/>
                <w:lang w:val="lt-LT"/>
              </w:rPr>
              <w:t xml:space="preserve"> Pagal remiamą veiklą taikomieji moksliniai tyrimai atitinka pramoninių tyrimų sąvok</w:t>
            </w:r>
            <w:r w:rsidR="008F085C" w:rsidRPr="49301670">
              <w:rPr>
                <w:rFonts w:ascii="Verdana" w:hAnsi="Verdana"/>
                <w:color w:val="000000" w:themeColor="text1"/>
                <w:sz w:val="20"/>
                <w:szCs w:val="20"/>
                <w:lang w:val="lt-LT" w:eastAsia="lt-LT"/>
              </w:rPr>
              <w:t xml:space="preserve">ą, kaip apibrėžta Reglamento (ES) Nr. 651/2014 2 straipsnio 85 punkte, o </w:t>
            </w:r>
            <w:r w:rsidR="008F085C" w:rsidRPr="49301670">
              <w:rPr>
                <w:rFonts w:ascii="Verdana" w:hAnsi="Verdana"/>
                <w:sz w:val="20"/>
                <w:szCs w:val="20"/>
                <w:lang w:val="lt-LT"/>
              </w:rPr>
              <w:t>eksperimentinė plėtra – bandomosios taikomosios veiklos sąvoką, kaip apibrėžta Reglamento (ES) Nr. 651/2014 2 straipsnio 86 punkte. Veikla siekiama pritraukti tiesioginius užsienio investuotojus investuoti į MTEP veiklas Lietuvoje.</w:t>
            </w:r>
          </w:p>
          <w:p w14:paraId="18570D01" w14:textId="39BE8C3F" w:rsidR="002737E5" w:rsidRPr="005850B1" w:rsidRDefault="002737E5" w:rsidP="08CA3863">
            <w:pPr>
              <w:tabs>
                <w:tab w:val="left" w:pos="426"/>
              </w:tabs>
              <w:ind w:left="34" w:hanging="34"/>
              <w:jc w:val="both"/>
              <w:rPr>
                <w:rFonts w:ascii="Verdana" w:eastAsia="Verdana" w:hAnsi="Verdana" w:cs="Verdana"/>
                <w:sz w:val="20"/>
                <w:szCs w:val="20"/>
                <w:lang w:val="lt-LT"/>
              </w:rPr>
            </w:pPr>
          </w:p>
        </w:tc>
      </w:tr>
      <w:tr w:rsidR="002737E5" w:rsidRPr="005850B1" w14:paraId="39DFCC3C" w14:textId="77777777" w:rsidTr="65614C08">
        <w:tc>
          <w:tcPr>
            <w:tcW w:w="3256" w:type="dxa"/>
          </w:tcPr>
          <w:p w14:paraId="6C75C2F6" w14:textId="1BC0BA7B" w:rsidR="002737E5" w:rsidRPr="005850B1" w:rsidRDefault="002737E5">
            <w:pPr>
              <w:rPr>
                <w:rFonts w:ascii="Verdana" w:hAnsi="Verdana"/>
                <w:sz w:val="20"/>
                <w:szCs w:val="20"/>
                <w:lang w:val="lt-LT"/>
              </w:rPr>
            </w:pPr>
            <w:r w:rsidRPr="005850B1">
              <w:rPr>
                <w:rFonts w:ascii="Verdana" w:hAnsi="Verdana"/>
                <w:sz w:val="20"/>
                <w:szCs w:val="20"/>
                <w:lang w:val="lt-LT"/>
              </w:rPr>
              <w:t>Planuojama kvietimo finansavimo suma, Eur</w:t>
            </w:r>
          </w:p>
        </w:tc>
        <w:tc>
          <w:tcPr>
            <w:tcW w:w="7371" w:type="dxa"/>
          </w:tcPr>
          <w:p w14:paraId="7CC55877" w14:textId="1E030CDC" w:rsidR="002737E5" w:rsidRPr="005850B1" w:rsidRDefault="008F085C">
            <w:pPr>
              <w:rPr>
                <w:rFonts w:ascii="Verdana" w:hAnsi="Verdana"/>
                <w:sz w:val="20"/>
                <w:szCs w:val="20"/>
                <w:lang w:val="lt-LT"/>
              </w:rPr>
            </w:pPr>
            <w:r w:rsidRPr="005850B1">
              <w:rPr>
                <w:rFonts w:ascii="Verdana" w:hAnsi="Verdana"/>
                <w:sz w:val="20"/>
                <w:szCs w:val="20"/>
                <w:lang w:val="lt-LT"/>
              </w:rPr>
              <w:t>3</w:t>
            </w:r>
            <w:r w:rsidR="00D42F77" w:rsidRPr="005850B1">
              <w:rPr>
                <w:rFonts w:ascii="Verdana" w:hAnsi="Verdana"/>
                <w:sz w:val="20"/>
                <w:szCs w:val="20"/>
                <w:lang w:val="lt-LT"/>
              </w:rPr>
              <w:t xml:space="preserve"> </w:t>
            </w:r>
            <w:r w:rsidRPr="005850B1">
              <w:rPr>
                <w:rFonts w:ascii="Verdana" w:hAnsi="Verdana"/>
                <w:sz w:val="20"/>
                <w:szCs w:val="20"/>
                <w:lang w:val="lt-LT"/>
              </w:rPr>
              <w:t>0</w:t>
            </w:r>
            <w:r w:rsidR="000F7F41" w:rsidRPr="005850B1">
              <w:rPr>
                <w:rFonts w:ascii="Verdana" w:hAnsi="Verdana"/>
                <w:sz w:val="20"/>
                <w:szCs w:val="20"/>
                <w:lang w:val="lt-LT"/>
              </w:rPr>
              <w:t>00</w:t>
            </w:r>
            <w:r w:rsidR="007B100B" w:rsidRPr="005850B1">
              <w:rPr>
                <w:rFonts w:ascii="Verdana" w:hAnsi="Verdana"/>
                <w:sz w:val="20"/>
                <w:szCs w:val="20"/>
                <w:lang w:val="lt-LT"/>
              </w:rPr>
              <w:t> 000,00</w:t>
            </w:r>
            <w:r w:rsidR="000B50C1" w:rsidRPr="005850B1">
              <w:rPr>
                <w:rFonts w:ascii="Verdana" w:hAnsi="Verdana"/>
                <w:sz w:val="20"/>
                <w:szCs w:val="20"/>
                <w:lang w:val="lt-LT"/>
              </w:rPr>
              <w:t xml:space="preserve"> </w:t>
            </w:r>
            <w:r w:rsidR="002737E5" w:rsidRPr="005850B1">
              <w:rPr>
                <w:rFonts w:ascii="Verdana" w:hAnsi="Verdana"/>
                <w:sz w:val="20"/>
                <w:szCs w:val="20"/>
                <w:lang w:val="lt-LT"/>
              </w:rPr>
              <w:t>Eur</w:t>
            </w:r>
          </w:p>
        </w:tc>
      </w:tr>
      <w:tr w:rsidR="002737E5" w:rsidRPr="005850B1" w14:paraId="4F671155" w14:textId="77777777" w:rsidTr="65614C08">
        <w:tc>
          <w:tcPr>
            <w:tcW w:w="3256" w:type="dxa"/>
          </w:tcPr>
          <w:p w14:paraId="286844B4" w14:textId="1256215C" w:rsidR="002737E5" w:rsidRPr="005850B1" w:rsidRDefault="002737E5">
            <w:pPr>
              <w:rPr>
                <w:rFonts w:ascii="Verdana" w:hAnsi="Verdana"/>
                <w:sz w:val="20"/>
                <w:szCs w:val="20"/>
                <w:lang w:val="lt-LT"/>
              </w:rPr>
            </w:pPr>
            <w:r w:rsidRPr="005850B1">
              <w:rPr>
                <w:rFonts w:ascii="Verdana" w:hAnsi="Verdana"/>
                <w:sz w:val="20"/>
                <w:szCs w:val="20"/>
                <w:lang w:val="lt-LT"/>
              </w:rPr>
              <w:t>Atrankos būdas</w:t>
            </w:r>
          </w:p>
        </w:tc>
        <w:tc>
          <w:tcPr>
            <w:tcW w:w="7371" w:type="dxa"/>
          </w:tcPr>
          <w:p w14:paraId="4320764C" w14:textId="42E19F60" w:rsidR="002737E5" w:rsidRPr="005850B1" w:rsidRDefault="000728E5">
            <w:pPr>
              <w:rPr>
                <w:rFonts w:ascii="Verdana" w:hAnsi="Verdana"/>
                <w:sz w:val="20"/>
                <w:szCs w:val="20"/>
                <w:lang w:val="lt-LT"/>
              </w:rPr>
            </w:pPr>
            <w:r w:rsidRPr="005850B1">
              <w:rPr>
                <w:rFonts w:ascii="Verdana" w:hAnsi="Verdana"/>
                <w:sz w:val="20"/>
                <w:szCs w:val="20"/>
                <w:lang w:val="lt-LT"/>
              </w:rPr>
              <w:t>Planavimas</w:t>
            </w:r>
          </w:p>
        </w:tc>
      </w:tr>
      <w:tr w:rsidR="002737E5" w:rsidRPr="005850B1" w14:paraId="372D5179" w14:textId="77777777" w:rsidTr="65614C08">
        <w:tc>
          <w:tcPr>
            <w:tcW w:w="3256" w:type="dxa"/>
          </w:tcPr>
          <w:p w14:paraId="4010CDE9" w14:textId="186D72F5" w:rsidR="002737E5" w:rsidRPr="005850B1" w:rsidRDefault="002737E5">
            <w:pPr>
              <w:rPr>
                <w:rFonts w:ascii="Verdana" w:hAnsi="Verdana"/>
                <w:sz w:val="20"/>
                <w:szCs w:val="20"/>
                <w:lang w:val="lt-LT"/>
              </w:rPr>
            </w:pPr>
            <w:r w:rsidRPr="005850B1">
              <w:rPr>
                <w:rFonts w:ascii="Verdana" w:hAnsi="Verdana"/>
                <w:sz w:val="20"/>
                <w:szCs w:val="20"/>
                <w:lang w:val="lt-LT"/>
              </w:rPr>
              <w:t>Tinkami pareiškėjai</w:t>
            </w:r>
          </w:p>
        </w:tc>
        <w:tc>
          <w:tcPr>
            <w:tcW w:w="7371" w:type="dxa"/>
          </w:tcPr>
          <w:p w14:paraId="5FB829ED" w14:textId="2D7EFCAA" w:rsidR="002737E5" w:rsidRPr="005850B1" w:rsidRDefault="00544189" w:rsidP="00544189">
            <w:pPr>
              <w:rPr>
                <w:rFonts w:ascii="Verdana" w:hAnsi="Verdana"/>
                <w:sz w:val="20"/>
                <w:szCs w:val="20"/>
                <w:lang w:val="lt-LT"/>
              </w:rPr>
            </w:pPr>
            <w:r w:rsidRPr="005850B1">
              <w:rPr>
                <w:rFonts w:ascii="Verdana" w:hAnsi="Verdana"/>
                <w:sz w:val="20"/>
                <w:szCs w:val="20"/>
                <w:lang w:val="lt-LT"/>
              </w:rPr>
              <w:t>Viešoji įstaiga</w:t>
            </w:r>
            <w:r w:rsidR="008F085C" w:rsidRPr="005850B1">
              <w:rPr>
                <w:rFonts w:ascii="Verdana" w:hAnsi="Verdana"/>
                <w:sz w:val="20"/>
                <w:szCs w:val="20"/>
                <w:lang w:val="lt-LT"/>
              </w:rPr>
              <w:t xml:space="preserve"> Investuok Lietuvoje</w:t>
            </w:r>
          </w:p>
        </w:tc>
      </w:tr>
      <w:tr w:rsidR="002737E5" w:rsidRPr="005850B1" w14:paraId="31FFD1A0" w14:textId="77777777" w:rsidTr="65614C08">
        <w:tc>
          <w:tcPr>
            <w:tcW w:w="3256" w:type="dxa"/>
          </w:tcPr>
          <w:p w14:paraId="609B69C5" w14:textId="6E1CDB85" w:rsidR="002737E5" w:rsidRPr="005850B1" w:rsidRDefault="002737E5">
            <w:pPr>
              <w:rPr>
                <w:rFonts w:ascii="Verdana" w:hAnsi="Verdana"/>
                <w:sz w:val="20"/>
                <w:szCs w:val="20"/>
                <w:lang w:val="lt-LT"/>
              </w:rPr>
            </w:pPr>
            <w:r w:rsidRPr="005850B1">
              <w:rPr>
                <w:rFonts w:ascii="Verdana" w:hAnsi="Verdana"/>
                <w:sz w:val="20"/>
                <w:szCs w:val="20"/>
                <w:lang w:val="lt-LT"/>
              </w:rPr>
              <w:t>Tinkamos išlaidos</w:t>
            </w:r>
          </w:p>
        </w:tc>
        <w:tc>
          <w:tcPr>
            <w:tcW w:w="7371" w:type="dxa"/>
          </w:tcPr>
          <w:p w14:paraId="64DAB9A2" w14:textId="34720961" w:rsidR="008F085C" w:rsidRPr="005850B1" w:rsidRDefault="00D42F77" w:rsidP="008F085C">
            <w:pPr>
              <w:spacing w:after="160" w:line="259" w:lineRule="auto"/>
              <w:jc w:val="both"/>
              <w:rPr>
                <w:rFonts w:ascii="Verdana" w:hAnsi="Verdana"/>
                <w:sz w:val="20"/>
                <w:szCs w:val="20"/>
                <w:lang w:val="lt-LT"/>
              </w:rPr>
            </w:pPr>
            <w:r w:rsidRPr="005850B1">
              <w:rPr>
                <w:rFonts w:ascii="Verdana" w:hAnsi="Verdana" w:cs="Times New Roman"/>
                <w:sz w:val="20"/>
                <w:szCs w:val="20"/>
                <w:lang w:val="lt-LT"/>
              </w:rPr>
              <w:t xml:space="preserve">1. </w:t>
            </w:r>
            <w:r w:rsidR="005850B1">
              <w:rPr>
                <w:rFonts w:ascii="Verdana" w:hAnsi="Verdana"/>
                <w:sz w:val="20"/>
                <w:szCs w:val="20"/>
                <w:lang w:val="lt-LT"/>
              </w:rPr>
              <w:t>P</w:t>
            </w:r>
            <w:r w:rsidR="008F085C" w:rsidRPr="005850B1">
              <w:rPr>
                <w:rFonts w:ascii="Verdana" w:hAnsi="Verdana"/>
                <w:sz w:val="20"/>
                <w:szCs w:val="20"/>
                <w:lang w:val="lt-LT"/>
              </w:rPr>
              <w:t>rojektą vykdančio personalo darbo užmokestis ir išlaidos su darbo santykiais susijusiems darbdavio įsipareigojimams, taip pat atlygio projektą vykdantiems fiziniams asmenims pagal paslaugų (civilines), autorines ar kitas sutartis išlaidos. Projektą vykdančio personalo darbo užmokesčio išlaidos už kasmetines atostogas ir (ar) kompensacijas už nepanaudotas kasmetines atostogas bei projektą vykdančio personalo išmokos už papildomas poilsio dienas.</w:t>
            </w:r>
          </w:p>
          <w:p w14:paraId="2A6DCA9A" w14:textId="4D0A2D4F" w:rsidR="008F085C" w:rsidRPr="005850B1" w:rsidRDefault="008F085C" w:rsidP="008F085C">
            <w:pPr>
              <w:spacing w:after="160" w:line="259" w:lineRule="auto"/>
              <w:jc w:val="both"/>
              <w:rPr>
                <w:rFonts w:ascii="Verdana" w:hAnsi="Verdana"/>
                <w:sz w:val="20"/>
                <w:szCs w:val="20"/>
                <w:lang w:val="lt-LT"/>
              </w:rPr>
            </w:pPr>
            <w:r w:rsidRPr="005850B1">
              <w:rPr>
                <w:rFonts w:ascii="Verdana" w:hAnsi="Verdana"/>
                <w:sz w:val="20"/>
                <w:szCs w:val="20"/>
                <w:lang w:val="lt-LT"/>
              </w:rPr>
              <w:t>2. Projektą vykdančio personalo komandiruočių išlaidos.</w:t>
            </w:r>
          </w:p>
          <w:p w14:paraId="51023782" w14:textId="5724BF6B" w:rsidR="008F085C" w:rsidRPr="005850B1" w:rsidRDefault="008F085C" w:rsidP="008F085C">
            <w:pPr>
              <w:jc w:val="both"/>
              <w:rPr>
                <w:rFonts w:ascii="Verdana" w:hAnsi="Verdana"/>
                <w:sz w:val="20"/>
                <w:szCs w:val="20"/>
                <w:lang w:val="lt-LT" w:eastAsia="lt-LT"/>
              </w:rPr>
            </w:pPr>
            <w:r w:rsidRPr="005850B1">
              <w:rPr>
                <w:rFonts w:ascii="Verdana" w:hAnsi="Verdana"/>
                <w:sz w:val="20"/>
                <w:szCs w:val="20"/>
                <w:lang w:val="lt-LT" w:eastAsia="lt-LT"/>
              </w:rPr>
              <w:t>3. Išlaidos tyrimams, studijoms, apžvalgoms ir panašioms paslaugoms įsigyti (ne daugiau kaip 15 procentų tinkamų finansuoti išlaidų sumos).</w:t>
            </w:r>
          </w:p>
          <w:p w14:paraId="5D184D97" w14:textId="1C5BCC83" w:rsidR="008F085C" w:rsidRPr="005850B1" w:rsidRDefault="008F085C" w:rsidP="008F085C">
            <w:pPr>
              <w:jc w:val="both"/>
              <w:rPr>
                <w:rFonts w:ascii="Verdana" w:hAnsi="Verdana"/>
                <w:sz w:val="20"/>
                <w:szCs w:val="20"/>
                <w:lang w:val="lt-LT" w:eastAsia="lt-LT"/>
              </w:rPr>
            </w:pPr>
            <w:r w:rsidRPr="005850B1">
              <w:rPr>
                <w:rFonts w:ascii="Verdana" w:hAnsi="Verdana"/>
                <w:sz w:val="20"/>
                <w:szCs w:val="20"/>
                <w:lang w:val="lt-LT" w:eastAsia="lt-LT"/>
              </w:rPr>
              <w:t>4. Renginių organizavimui skirtos išlaidos, kai renginį organizuoja projekto vykdytojas arba perkama tokia paslauga.</w:t>
            </w:r>
          </w:p>
          <w:p w14:paraId="0865921E" w14:textId="178BC355" w:rsidR="008F085C" w:rsidRPr="005850B1" w:rsidRDefault="008F085C" w:rsidP="008F085C">
            <w:pPr>
              <w:jc w:val="both"/>
              <w:rPr>
                <w:rFonts w:ascii="Verdana" w:hAnsi="Verdana"/>
                <w:sz w:val="20"/>
                <w:szCs w:val="20"/>
                <w:lang w:val="lt-LT" w:eastAsia="lt-LT"/>
              </w:rPr>
            </w:pPr>
            <w:r w:rsidRPr="005850B1">
              <w:rPr>
                <w:rFonts w:ascii="Verdana" w:hAnsi="Verdana"/>
                <w:sz w:val="20"/>
                <w:szCs w:val="20"/>
                <w:lang w:val="lt-LT" w:eastAsia="lt-LT"/>
              </w:rPr>
              <w:t>5. Viešinimo, sklaidos paslaugoms įsigyti (rinkodaros, reklamos ir viešųjų ryšių, e. rinkodaros paslaugos – ne daugiau kaip 25 procentai tinkamų finansuoti išlaidų sumos).</w:t>
            </w:r>
          </w:p>
          <w:p w14:paraId="3BA350D5" w14:textId="155421C4" w:rsidR="008F085C" w:rsidRPr="005850B1" w:rsidRDefault="008F085C" w:rsidP="008F085C">
            <w:pPr>
              <w:jc w:val="both"/>
              <w:rPr>
                <w:rFonts w:ascii="Verdana" w:hAnsi="Verdana"/>
                <w:sz w:val="20"/>
                <w:szCs w:val="20"/>
                <w:lang w:val="lt-LT" w:eastAsia="lt-LT"/>
              </w:rPr>
            </w:pPr>
            <w:r w:rsidRPr="005850B1">
              <w:rPr>
                <w:rFonts w:ascii="Verdana" w:hAnsi="Verdana"/>
                <w:sz w:val="20"/>
                <w:szCs w:val="20"/>
                <w:lang w:val="lt-LT" w:eastAsia="lt-LT"/>
              </w:rPr>
              <w:t xml:space="preserve">6. Išlaidos kitoms su projekto veiklomis susijusioms paslaugoms (leidybos, vertimo, narystės organizacijose ir iniciatyvose mokestis) įsigyti. </w:t>
            </w:r>
          </w:p>
          <w:p w14:paraId="0360BD3F" w14:textId="6F0BB10F" w:rsidR="008F085C" w:rsidRPr="005850B1" w:rsidRDefault="008F085C" w:rsidP="008F085C">
            <w:pPr>
              <w:jc w:val="both"/>
              <w:rPr>
                <w:rFonts w:ascii="Verdana" w:hAnsi="Verdana"/>
                <w:sz w:val="20"/>
                <w:szCs w:val="20"/>
                <w:lang w:val="lt-LT" w:eastAsia="lt-LT"/>
              </w:rPr>
            </w:pPr>
            <w:r w:rsidRPr="005850B1">
              <w:rPr>
                <w:rFonts w:ascii="Verdana" w:hAnsi="Verdana"/>
                <w:sz w:val="20"/>
                <w:szCs w:val="20"/>
                <w:lang w:val="lt-LT" w:eastAsia="lt-LT"/>
              </w:rPr>
              <w:t>7. Projekto veikloms vykdyti reikalingų transporto priemonių, patalpų eksploatavimo (komunalinių, ryšio paslaugų ir panašios) išlaidos.</w:t>
            </w:r>
          </w:p>
          <w:p w14:paraId="3148C067" w14:textId="3FF314EC" w:rsidR="008F085C" w:rsidRPr="005850B1" w:rsidRDefault="008F085C" w:rsidP="008F085C">
            <w:pPr>
              <w:jc w:val="both"/>
              <w:rPr>
                <w:rFonts w:ascii="Verdana" w:hAnsi="Verdana"/>
                <w:sz w:val="20"/>
                <w:szCs w:val="20"/>
                <w:lang w:val="lt-LT" w:eastAsia="lt-LT"/>
              </w:rPr>
            </w:pPr>
            <w:r w:rsidRPr="005850B1">
              <w:rPr>
                <w:rFonts w:ascii="Verdana" w:hAnsi="Verdana"/>
                <w:sz w:val="20"/>
                <w:szCs w:val="20"/>
                <w:lang w:val="lt-LT" w:eastAsia="lt-LT"/>
              </w:rPr>
              <w:t>8. Tarptautinių partnerių ir ekspertų kelionių ir apgyvendinimo išlaidos.</w:t>
            </w:r>
          </w:p>
          <w:p w14:paraId="4F09F0D4" w14:textId="14193ED6" w:rsidR="008F085C" w:rsidRPr="005850B1" w:rsidRDefault="008F085C" w:rsidP="008F085C">
            <w:pPr>
              <w:jc w:val="both"/>
              <w:rPr>
                <w:rFonts w:ascii="Verdana" w:hAnsi="Verdana"/>
                <w:sz w:val="20"/>
                <w:szCs w:val="20"/>
                <w:lang w:val="lt-LT" w:eastAsia="lt-LT"/>
              </w:rPr>
            </w:pPr>
            <w:r w:rsidRPr="005850B1">
              <w:rPr>
                <w:rFonts w:ascii="Verdana" w:hAnsi="Verdana"/>
                <w:sz w:val="20"/>
                <w:szCs w:val="20"/>
                <w:lang w:val="lt-LT" w:eastAsia="lt-LT"/>
              </w:rPr>
              <w:t>9. Su dalyvavimu renginiuose susijusios išlaidos (renginių dalyvio mokestis, su stendo įrengimu ir eksploatavimu susijusios išlaidos, renginiui reikalingos įrangos nuomos išlaidos, su renginiu susijusių daiktų pervežimo bei siuntimo ir panašios paslaugos).</w:t>
            </w:r>
          </w:p>
          <w:p w14:paraId="4B68E4CF" w14:textId="645B43E6" w:rsidR="008F085C" w:rsidRPr="005850B1" w:rsidRDefault="008F085C" w:rsidP="008F085C">
            <w:pPr>
              <w:jc w:val="both"/>
              <w:rPr>
                <w:rFonts w:ascii="Verdana" w:hAnsi="Verdana"/>
                <w:sz w:val="20"/>
                <w:szCs w:val="20"/>
                <w:lang w:val="lt-LT" w:eastAsia="lt-LT"/>
              </w:rPr>
            </w:pPr>
            <w:r w:rsidRPr="005850B1">
              <w:rPr>
                <w:rFonts w:ascii="Verdana" w:hAnsi="Verdana"/>
                <w:sz w:val="20"/>
                <w:szCs w:val="20"/>
                <w:lang w:val="lt-LT" w:eastAsia="lt-LT"/>
              </w:rPr>
              <w:t>10. Su potencialių investuotojų vizitais susijusios išlaidos (maitinimo, pavėžėjimo, oro uostų, gidų ir panašios paslaugos).</w:t>
            </w:r>
          </w:p>
          <w:p w14:paraId="121EB357" w14:textId="648EC5E3" w:rsidR="008F085C" w:rsidRPr="005850B1" w:rsidRDefault="008F085C" w:rsidP="008F085C">
            <w:pPr>
              <w:jc w:val="both"/>
              <w:rPr>
                <w:rFonts w:ascii="Verdana" w:hAnsi="Verdana"/>
                <w:sz w:val="20"/>
                <w:szCs w:val="20"/>
                <w:lang w:val="lt-LT" w:eastAsia="lt-LT"/>
              </w:rPr>
            </w:pPr>
            <w:r w:rsidRPr="005850B1">
              <w:rPr>
                <w:rFonts w:ascii="Verdana" w:hAnsi="Verdana"/>
                <w:color w:val="000000"/>
                <w:sz w:val="20"/>
                <w:szCs w:val="20"/>
                <w:shd w:val="clear" w:color="auto" w:fill="FFFFFF"/>
                <w:lang w:val="lt-LT"/>
              </w:rPr>
              <w:t xml:space="preserve">11. </w:t>
            </w:r>
            <w:r w:rsidRPr="005850B1">
              <w:rPr>
                <w:rFonts w:ascii="Verdana" w:hAnsi="Verdana"/>
                <w:sz w:val="20"/>
                <w:szCs w:val="20"/>
                <w:lang w:val="lt-LT" w:eastAsia="lt-LT"/>
              </w:rPr>
              <w:t>Projekto veiklai vykdyti reikalingų patalpų nuomos išlaidos.</w:t>
            </w:r>
          </w:p>
          <w:p w14:paraId="3ED2D7CA" w14:textId="328236E1" w:rsidR="008F085C" w:rsidRPr="005850B1" w:rsidRDefault="008F085C" w:rsidP="008F085C">
            <w:pPr>
              <w:jc w:val="both"/>
              <w:rPr>
                <w:rFonts w:ascii="Verdana" w:hAnsi="Verdana"/>
                <w:color w:val="000000"/>
                <w:sz w:val="20"/>
                <w:szCs w:val="20"/>
                <w:shd w:val="clear" w:color="auto" w:fill="FFFFFF"/>
                <w:lang w:val="lt-LT"/>
              </w:rPr>
            </w:pPr>
            <w:r w:rsidRPr="005850B1">
              <w:rPr>
                <w:rFonts w:ascii="Verdana" w:hAnsi="Verdana"/>
                <w:color w:val="000000"/>
                <w:sz w:val="20"/>
                <w:szCs w:val="20"/>
                <w:shd w:val="clear" w:color="auto" w:fill="FFFFFF"/>
                <w:lang w:val="lt-LT"/>
              </w:rPr>
              <w:t>12. Projekto veiklai vykdyti reikalingų elektroninių įrankių ir licencijų įsigijimo ir (arba) nuomos išlaidos.</w:t>
            </w:r>
          </w:p>
          <w:p w14:paraId="39AD294A" w14:textId="3D07C680" w:rsidR="008F085C" w:rsidRPr="005850B1" w:rsidRDefault="008F085C" w:rsidP="008F085C">
            <w:pPr>
              <w:jc w:val="both"/>
              <w:rPr>
                <w:rFonts w:ascii="Verdana" w:hAnsi="Verdana"/>
                <w:sz w:val="20"/>
                <w:szCs w:val="20"/>
                <w:lang w:val="lt-LT" w:eastAsia="lt-LT"/>
              </w:rPr>
            </w:pPr>
            <w:r w:rsidRPr="005850B1">
              <w:rPr>
                <w:rFonts w:ascii="Verdana" w:hAnsi="Verdana"/>
                <w:sz w:val="20"/>
                <w:szCs w:val="20"/>
                <w:lang w:val="lt-LT" w:eastAsia="lt-LT"/>
              </w:rPr>
              <w:t>13. Kompiuterinės įrangos įsigijimo išlaidos. Kompiuterinė įranga gali būti įsigyjama finansinės nuomos (lizingo) būdu, tačiau finansinės nuomos (lizingo) laikotarpis negali būti ilgesnis už projekto įgyvendinimo trukmę, tai yra finansinės nuomos (lizingo) būdu įsigyta kompiuterinė įranga iki projekto įgyvendinimo pabaigos turi tapti projekto vykdytojo nuosavybe.</w:t>
            </w:r>
          </w:p>
          <w:p w14:paraId="4315CB9B" w14:textId="70F80C8D" w:rsidR="008F085C" w:rsidRPr="005850B1" w:rsidRDefault="008F085C" w:rsidP="008F085C">
            <w:pPr>
              <w:jc w:val="both"/>
              <w:rPr>
                <w:rFonts w:ascii="Verdana" w:hAnsi="Verdana"/>
                <w:sz w:val="20"/>
                <w:szCs w:val="20"/>
                <w:lang w:val="lt-LT" w:eastAsia="lt-LT"/>
              </w:rPr>
            </w:pPr>
            <w:r w:rsidRPr="005850B1">
              <w:rPr>
                <w:rFonts w:ascii="Verdana" w:hAnsi="Verdana"/>
                <w:sz w:val="20"/>
                <w:szCs w:val="20"/>
                <w:lang w:val="lt-LT" w:eastAsia="lt-LT"/>
              </w:rPr>
              <w:t>14. Programinės įrangos įsigijimo išlaidos.</w:t>
            </w:r>
          </w:p>
          <w:p w14:paraId="3630DD57" w14:textId="4BEFADC1" w:rsidR="008F085C" w:rsidRPr="005850B1" w:rsidRDefault="008F085C" w:rsidP="008F085C">
            <w:pPr>
              <w:jc w:val="both"/>
              <w:rPr>
                <w:rFonts w:ascii="Verdana" w:hAnsi="Verdana"/>
                <w:color w:val="000000"/>
                <w:sz w:val="20"/>
                <w:szCs w:val="20"/>
                <w:shd w:val="clear" w:color="auto" w:fill="FFFFFF"/>
                <w:lang w:val="lt-LT"/>
              </w:rPr>
            </w:pPr>
            <w:r w:rsidRPr="005850B1">
              <w:rPr>
                <w:rFonts w:ascii="Verdana" w:hAnsi="Verdana"/>
                <w:color w:val="000000"/>
                <w:sz w:val="20"/>
                <w:szCs w:val="20"/>
                <w:shd w:val="clear" w:color="auto" w:fill="FFFFFF"/>
                <w:lang w:val="lt-LT"/>
              </w:rPr>
              <w:lastRenderedPageBreak/>
              <w:t>15. Ilgalaikio materialiojo turto draudimo išlaidos.</w:t>
            </w:r>
          </w:p>
          <w:p w14:paraId="0BA818E4" w14:textId="0EE0C9C1" w:rsidR="008F085C" w:rsidRPr="005850B1" w:rsidRDefault="008F085C" w:rsidP="008F085C">
            <w:pPr>
              <w:jc w:val="both"/>
              <w:rPr>
                <w:rFonts w:ascii="Verdana" w:hAnsi="Verdana"/>
                <w:sz w:val="20"/>
                <w:szCs w:val="20"/>
                <w:lang w:val="lt-LT" w:eastAsia="lt-LT"/>
              </w:rPr>
            </w:pPr>
            <w:r w:rsidRPr="005850B1">
              <w:rPr>
                <w:rFonts w:ascii="Verdana" w:hAnsi="Verdana"/>
                <w:sz w:val="20"/>
                <w:szCs w:val="20"/>
                <w:lang w:val="lt-LT"/>
              </w:rPr>
              <w:t>16. Išlaidos privalomiems informavimo apie projektą veiksmams.</w:t>
            </w:r>
            <w:r w:rsidRPr="005850B1">
              <w:rPr>
                <w:rFonts w:ascii="Verdana" w:hAnsi="Verdana"/>
                <w:sz w:val="20"/>
                <w:szCs w:val="20"/>
                <w:lang w:val="lt-LT" w:eastAsia="lt-LT"/>
              </w:rPr>
              <w:t xml:space="preserve"> </w:t>
            </w:r>
          </w:p>
          <w:p w14:paraId="4ACFA4D7" w14:textId="5939B842" w:rsidR="008F085C" w:rsidRPr="005850B1" w:rsidRDefault="008F085C" w:rsidP="008F085C">
            <w:pPr>
              <w:jc w:val="both"/>
              <w:rPr>
                <w:rFonts w:ascii="Verdana" w:hAnsi="Verdana"/>
                <w:sz w:val="20"/>
                <w:szCs w:val="20"/>
                <w:lang w:val="lt-LT"/>
              </w:rPr>
            </w:pPr>
            <w:r w:rsidRPr="005850B1">
              <w:rPr>
                <w:rFonts w:ascii="Verdana" w:hAnsi="Verdana"/>
                <w:sz w:val="20"/>
                <w:szCs w:val="20"/>
                <w:lang w:val="lt-LT"/>
              </w:rPr>
              <w:t xml:space="preserve">17. Netiesioginės išlaidos pagal fiksuotąją projekto išlaidų normą, kurioms taikoma Administravimo taisyklių 172.1 papunktyje nurodyta fiksuotoji norma. </w:t>
            </w:r>
          </w:p>
          <w:p w14:paraId="1AF3A6EC" w14:textId="2B002014" w:rsidR="008F085C" w:rsidRPr="005850B1" w:rsidRDefault="008F085C" w:rsidP="008F085C">
            <w:pPr>
              <w:jc w:val="both"/>
              <w:rPr>
                <w:rFonts w:ascii="Verdana" w:hAnsi="Verdana"/>
                <w:sz w:val="20"/>
                <w:szCs w:val="20"/>
                <w:lang w:val="lt-LT"/>
              </w:rPr>
            </w:pPr>
            <w:r w:rsidRPr="005850B1">
              <w:rPr>
                <w:rFonts w:ascii="Verdana" w:hAnsi="Verdana"/>
                <w:sz w:val="20"/>
                <w:szCs w:val="20"/>
                <w:lang w:val="lt-LT"/>
              </w:rPr>
              <w:t>18. 11–15 punktuose nurodytos išlaidos turi būti tiesiogiai susijusios su projekto vykdymu.</w:t>
            </w:r>
          </w:p>
          <w:p w14:paraId="45358A1A" w14:textId="376EE3FB" w:rsidR="002737E5" w:rsidRPr="005850B1" w:rsidRDefault="008F085C" w:rsidP="008F085C">
            <w:pPr>
              <w:spacing w:after="160" w:line="259" w:lineRule="auto"/>
              <w:jc w:val="both"/>
              <w:rPr>
                <w:rFonts w:ascii="Verdana" w:hAnsi="Verdana"/>
                <w:sz w:val="20"/>
                <w:szCs w:val="20"/>
                <w:lang w:val="lt-LT"/>
              </w:rPr>
            </w:pPr>
            <w:r w:rsidRPr="005850B1">
              <w:rPr>
                <w:rFonts w:ascii="Verdana" w:hAnsi="Verdana"/>
                <w:sz w:val="20"/>
                <w:szCs w:val="20"/>
                <w:lang w:val="lt-LT"/>
              </w:rPr>
              <w:t>19. 12–15 p</w:t>
            </w:r>
            <w:r w:rsidR="005850B1" w:rsidRPr="005850B1">
              <w:rPr>
                <w:rFonts w:ascii="Verdana" w:hAnsi="Verdana"/>
                <w:sz w:val="20"/>
                <w:szCs w:val="20"/>
                <w:lang w:val="lt-LT"/>
              </w:rPr>
              <w:t>unktuose</w:t>
            </w:r>
            <w:r w:rsidRPr="005850B1">
              <w:rPr>
                <w:rFonts w:ascii="Verdana" w:hAnsi="Verdana"/>
                <w:sz w:val="20"/>
                <w:szCs w:val="20"/>
                <w:lang w:val="lt-LT"/>
              </w:rPr>
              <w:t xml:space="preserve"> nurodytos išlaidos gali sudaryti ne daugiau nei 10 procentų tinkamų finansuoti projekto išlaidų sumos.</w:t>
            </w:r>
          </w:p>
        </w:tc>
      </w:tr>
      <w:tr w:rsidR="002737E5" w:rsidRPr="005850B1" w14:paraId="220B2FA6" w14:textId="77777777" w:rsidTr="65614C08">
        <w:tc>
          <w:tcPr>
            <w:tcW w:w="3256" w:type="dxa"/>
          </w:tcPr>
          <w:p w14:paraId="3E19BA39" w14:textId="104EE931" w:rsidR="002737E5" w:rsidRPr="005850B1" w:rsidRDefault="002737E5">
            <w:pPr>
              <w:rPr>
                <w:rFonts w:ascii="Verdana" w:hAnsi="Verdana"/>
                <w:sz w:val="20"/>
                <w:szCs w:val="20"/>
                <w:lang w:val="lt-LT"/>
              </w:rPr>
            </w:pPr>
            <w:r w:rsidRPr="005850B1">
              <w:rPr>
                <w:rFonts w:ascii="Verdana" w:hAnsi="Verdana"/>
                <w:sz w:val="20"/>
                <w:szCs w:val="20"/>
                <w:lang w:val="lt-LT"/>
              </w:rPr>
              <w:lastRenderedPageBreak/>
              <w:t>Didžiausia galima projektui skirti finansavimo lėšų suma, Eur</w:t>
            </w:r>
          </w:p>
        </w:tc>
        <w:tc>
          <w:tcPr>
            <w:tcW w:w="7371" w:type="dxa"/>
          </w:tcPr>
          <w:p w14:paraId="6DCC9F4C" w14:textId="08A13E73" w:rsidR="001D4F1A" w:rsidRPr="005850B1" w:rsidRDefault="005850B1" w:rsidP="001D4F1A">
            <w:pPr>
              <w:rPr>
                <w:rFonts w:ascii="Verdana" w:hAnsi="Verdana"/>
                <w:sz w:val="20"/>
                <w:szCs w:val="20"/>
                <w:lang w:val="lt-LT"/>
              </w:rPr>
            </w:pPr>
            <w:r w:rsidRPr="005850B1">
              <w:rPr>
                <w:rFonts w:ascii="Verdana" w:hAnsi="Verdana"/>
                <w:sz w:val="20"/>
                <w:szCs w:val="20"/>
                <w:lang w:val="lt-LT"/>
              </w:rPr>
              <w:t>3 0</w:t>
            </w:r>
            <w:r w:rsidR="00383816" w:rsidRPr="005850B1">
              <w:rPr>
                <w:rFonts w:ascii="Verdana" w:hAnsi="Verdana"/>
                <w:sz w:val="20"/>
                <w:szCs w:val="20"/>
                <w:lang w:val="lt-LT"/>
              </w:rPr>
              <w:t>00</w:t>
            </w:r>
            <w:r w:rsidR="00A91787" w:rsidRPr="005850B1">
              <w:rPr>
                <w:rFonts w:ascii="Verdana" w:hAnsi="Verdana"/>
                <w:sz w:val="20"/>
                <w:szCs w:val="20"/>
                <w:lang w:val="lt-LT"/>
              </w:rPr>
              <w:t> </w:t>
            </w:r>
            <w:r w:rsidR="001D4F1A" w:rsidRPr="005850B1">
              <w:rPr>
                <w:rFonts w:ascii="Verdana" w:hAnsi="Verdana"/>
                <w:sz w:val="20"/>
                <w:szCs w:val="20"/>
                <w:lang w:val="lt-LT"/>
              </w:rPr>
              <w:t>000</w:t>
            </w:r>
            <w:r w:rsidR="00A91787" w:rsidRPr="005850B1">
              <w:rPr>
                <w:rFonts w:ascii="Verdana" w:hAnsi="Verdana"/>
                <w:sz w:val="20"/>
                <w:szCs w:val="20"/>
                <w:lang w:val="lt-LT"/>
              </w:rPr>
              <w:t>,00</w:t>
            </w:r>
            <w:r w:rsidR="000D31F3" w:rsidRPr="005850B1">
              <w:rPr>
                <w:rFonts w:ascii="Verdana" w:hAnsi="Verdana"/>
                <w:sz w:val="20"/>
                <w:szCs w:val="20"/>
                <w:lang w:val="lt-LT"/>
              </w:rPr>
              <w:t xml:space="preserve"> Eur</w:t>
            </w:r>
            <w:r w:rsidR="001D4F1A" w:rsidRPr="005850B1">
              <w:rPr>
                <w:rFonts w:ascii="Verdana" w:hAnsi="Verdana"/>
                <w:sz w:val="20"/>
                <w:szCs w:val="20"/>
                <w:lang w:val="lt-LT"/>
              </w:rPr>
              <w:t>.</w:t>
            </w:r>
          </w:p>
          <w:p w14:paraId="7C09E10A" w14:textId="4BD1B135" w:rsidR="002737E5" w:rsidRPr="005850B1" w:rsidRDefault="002737E5" w:rsidP="000D31F3">
            <w:pPr>
              <w:rPr>
                <w:rFonts w:ascii="Verdana" w:hAnsi="Verdana"/>
                <w:sz w:val="20"/>
                <w:szCs w:val="20"/>
                <w:lang w:val="lt-LT"/>
              </w:rPr>
            </w:pPr>
          </w:p>
        </w:tc>
      </w:tr>
      <w:tr w:rsidR="002737E5" w:rsidRPr="005850B1" w14:paraId="1E1DE1FC" w14:textId="77777777" w:rsidTr="65614C08">
        <w:tc>
          <w:tcPr>
            <w:tcW w:w="3256" w:type="dxa"/>
          </w:tcPr>
          <w:p w14:paraId="222FC641" w14:textId="3542A6AD" w:rsidR="002737E5" w:rsidRPr="005850B1" w:rsidRDefault="00D81338">
            <w:pPr>
              <w:rPr>
                <w:rFonts w:ascii="Verdana" w:hAnsi="Verdana"/>
                <w:sz w:val="20"/>
                <w:szCs w:val="20"/>
                <w:lang w:val="lt-LT"/>
              </w:rPr>
            </w:pPr>
            <w:r w:rsidRPr="005850B1">
              <w:rPr>
                <w:rFonts w:ascii="Verdana" w:hAnsi="Verdana"/>
                <w:sz w:val="20"/>
                <w:szCs w:val="20"/>
                <w:lang w:val="lt-LT"/>
              </w:rPr>
              <w:t>Projektų įgyvendinimo planai  gali būti teikiami nuo</w:t>
            </w:r>
          </w:p>
        </w:tc>
        <w:tc>
          <w:tcPr>
            <w:tcW w:w="7371" w:type="dxa"/>
          </w:tcPr>
          <w:p w14:paraId="1DD56203" w14:textId="6C36A040" w:rsidR="002737E5" w:rsidRPr="005850B1" w:rsidRDefault="000D31F3" w:rsidP="17202B43">
            <w:pPr>
              <w:rPr>
                <w:rFonts w:ascii="Verdana" w:hAnsi="Verdana"/>
                <w:sz w:val="20"/>
                <w:szCs w:val="20"/>
                <w:lang w:val="lt-LT"/>
              </w:rPr>
            </w:pPr>
            <w:r w:rsidRPr="005850B1">
              <w:rPr>
                <w:rFonts w:ascii="Verdana" w:hAnsi="Verdana"/>
                <w:sz w:val="20"/>
                <w:szCs w:val="20"/>
                <w:lang w:val="lt-LT"/>
              </w:rPr>
              <w:t>202</w:t>
            </w:r>
            <w:r w:rsidR="00F906D3" w:rsidRPr="005850B1">
              <w:rPr>
                <w:rFonts w:ascii="Verdana" w:hAnsi="Verdana"/>
                <w:sz w:val="20"/>
                <w:szCs w:val="20"/>
                <w:lang w:val="lt-LT"/>
              </w:rPr>
              <w:t>3</w:t>
            </w:r>
            <w:r w:rsidRPr="005850B1">
              <w:rPr>
                <w:rFonts w:ascii="Verdana" w:hAnsi="Verdana"/>
                <w:sz w:val="20"/>
                <w:szCs w:val="20"/>
                <w:lang w:val="lt-LT"/>
              </w:rPr>
              <w:t>-</w:t>
            </w:r>
            <w:r w:rsidR="00F906D3" w:rsidRPr="005850B1">
              <w:rPr>
                <w:rFonts w:ascii="Verdana" w:hAnsi="Verdana"/>
                <w:sz w:val="20"/>
                <w:szCs w:val="20"/>
                <w:lang w:val="lt-LT"/>
              </w:rPr>
              <w:t>0</w:t>
            </w:r>
            <w:r w:rsidR="005850B1" w:rsidRPr="005850B1">
              <w:rPr>
                <w:rFonts w:ascii="Verdana" w:hAnsi="Verdana"/>
                <w:sz w:val="20"/>
                <w:szCs w:val="20"/>
                <w:lang w:val="lt-LT"/>
              </w:rPr>
              <w:t>7-05</w:t>
            </w:r>
            <w:r w:rsidRPr="005850B1">
              <w:rPr>
                <w:rFonts w:ascii="Verdana" w:hAnsi="Verdana"/>
                <w:sz w:val="20"/>
                <w:szCs w:val="20"/>
                <w:lang w:val="lt-LT"/>
              </w:rPr>
              <w:t xml:space="preserve"> </w:t>
            </w:r>
            <w:r w:rsidR="00F906D3" w:rsidRPr="005850B1">
              <w:rPr>
                <w:rFonts w:ascii="Verdana" w:hAnsi="Verdana"/>
                <w:sz w:val="20"/>
                <w:szCs w:val="20"/>
                <w:lang w:val="lt-LT"/>
              </w:rPr>
              <w:t>1</w:t>
            </w:r>
            <w:r w:rsidR="00253DD0" w:rsidRPr="005850B1">
              <w:rPr>
                <w:rFonts w:ascii="Verdana" w:hAnsi="Verdana"/>
                <w:sz w:val="20"/>
                <w:szCs w:val="20"/>
                <w:lang w:val="lt-LT"/>
              </w:rPr>
              <w:t>4</w:t>
            </w:r>
            <w:r w:rsidRPr="005850B1">
              <w:rPr>
                <w:rFonts w:ascii="Verdana" w:hAnsi="Verdana"/>
                <w:sz w:val="20"/>
                <w:szCs w:val="20"/>
                <w:lang w:val="lt-LT"/>
              </w:rPr>
              <w:t>:00</w:t>
            </w:r>
            <w:r w:rsidR="001731D9" w:rsidRPr="005850B1">
              <w:rPr>
                <w:rFonts w:ascii="Verdana" w:hAnsi="Verdana"/>
                <w:sz w:val="20"/>
                <w:szCs w:val="20"/>
                <w:lang w:val="lt-LT"/>
              </w:rPr>
              <w:t xml:space="preserve"> val.</w:t>
            </w:r>
          </w:p>
        </w:tc>
      </w:tr>
      <w:tr w:rsidR="002737E5" w:rsidRPr="005850B1" w14:paraId="6DAA00F0" w14:textId="77777777" w:rsidTr="65614C08">
        <w:tc>
          <w:tcPr>
            <w:tcW w:w="3256" w:type="dxa"/>
          </w:tcPr>
          <w:p w14:paraId="7B7352AA" w14:textId="04B586D8" w:rsidR="002737E5" w:rsidRPr="005850B1" w:rsidRDefault="001164D0">
            <w:pPr>
              <w:rPr>
                <w:rFonts w:ascii="Verdana" w:hAnsi="Verdana"/>
                <w:sz w:val="20"/>
                <w:szCs w:val="20"/>
                <w:lang w:val="lt-LT"/>
              </w:rPr>
            </w:pPr>
            <w:r w:rsidRPr="005850B1">
              <w:rPr>
                <w:rFonts w:ascii="Verdana" w:hAnsi="Verdana"/>
                <w:sz w:val="20"/>
                <w:szCs w:val="20"/>
                <w:lang w:val="lt-LT"/>
              </w:rPr>
              <w:t>Projektų įgyvendinimo planai  gali būti teikiami iki (galutinis projektų įgyvendinimo planų pateikimo terminas)</w:t>
            </w:r>
          </w:p>
        </w:tc>
        <w:tc>
          <w:tcPr>
            <w:tcW w:w="7371" w:type="dxa"/>
          </w:tcPr>
          <w:p w14:paraId="123746F6" w14:textId="0E2C419A" w:rsidR="002737E5" w:rsidRPr="005850B1" w:rsidRDefault="000D31F3" w:rsidP="49301670">
            <w:pPr>
              <w:rPr>
                <w:rFonts w:ascii="Verdana" w:hAnsi="Verdana"/>
                <w:sz w:val="20"/>
                <w:szCs w:val="20"/>
                <w:lang w:val="lt-LT"/>
              </w:rPr>
            </w:pPr>
            <w:r w:rsidRPr="49301670">
              <w:rPr>
                <w:rFonts w:ascii="Verdana" w:hAnsi="Verdana"/>
                <w:sz w:val="20"/>
                <w:szCs w:val="20"/>
                <w:lang w:val="lt-LT"/>
              </w:rPr>
              <w:t>2023-</w:t>
            </w:r>
            <w:r w:rsidR="3F77841E" w:rsidRPr="49301670">
              <w:rPr>
                <w:rFonts w:ascii="Verdana" w:hAnsi="Verdana"/>
                <w:sz w:val="20"/>
                <w:szCs w:val="20"/>
                <w:lang w:val="lt-LT"/>
              </w:rPr>
              <w:t>09-29</w:t>
            </w:r>
            <w:r w:rsidRPr="49301670">
              <w:rPr>
                <w:rFonts w:ascii="Verdana" w:hAnsi="Verdana"/>
                <w:sz w:val="20"/>
                <w:szCs w:val="20"/>
                <w:lang w:val="lt-LT"/>
              </w:rPr>
              <w:t xml:space="preserve"> </w:t>
            </w:r>
            <w:r w:rsidR="00F906D3" w:rsidRPr="49301670">
              <w:rPr>
                <w:rFonts w:ascii="Verdana" w:hAnsi="Verdana"/>
                <w:sz w:val="20"/>
                <w:szCs w:val="20"/>
                <w:lang w:val="lt-LT"/>
              </w:rPr>
              <w:t>1</w:t>
            </w:r>
            <w:r w:rsidR="79992601" w:rsidRPr="49301670">
              <w:rPr>
                <w:rFonts w:ascii="Verdana" w:hAnsi="Verdana"/>
                <w:sz w:val="20"/>
                <w:szCs w:val="20"/>
                <w:lang w:val="lt-LT"/>
              </w:rPr>
              <w:t>6</w:t>
            </w:r>
            <w:r w:rsidR="15D0377A" w:rsidRPr="49301670">
              <w:rPr>
                <w:rFonts w:ascii="Verdana" w:hAnsi="Verdana"/>
                <w:sz w:val="20"/>
                <w:szCs w:val="20"/>
                <w:lang w:val="lt-LT"/>
              </w:rPr>
              <w:t>.</w:t>
            </w:r>
            <w:r w:rsidR="002970B6" w:rsidRPr="49301670">
              <w:rPr>
                <w:rFonts w:ascii="Verdana" w:hAnsi="Verdana"/>
                <w:sz w:val="20"/>
                <w:szCs w:val="20"/>
                <w:lang w:val="lt-LT"/>
              </w:rPr>
              <w:t>00</w:t>
            </w:r>
            <w:r w:rsidRPr="49301670">
              <w:rPr>
                <w:rFonts w:ascii="Verdana" w:hAnsi="Verdana"/>
                <w:sz w:val="20"/>
                <w:szCs w:val="20"/>
                <w:lang w:val="lt-LT"/>
              </w:rPr>
              <w:t xml:space="preserve"> val.</w:t>
            </w:r>
          </w:p>
        </w:tc>
      </w:tr>
      <w:tr w:rsidR="002737E5" w:rsidRPr="005850B1" w14:paraId="2AF4BCE2" w14:textId="77777777" w:rsidTr="65614C08">
        <w:tc>
          <w:tcPr>
            <w:tcW w:w="3256" w:type="dxa"/>
          </w:tcPr>
          <w:p w14:paraId="7649CE4E" w14:textId="07E6C7DD" w:rsidR="002737E5" w:rsidRPr="005850B1" w:rsidRDefault="00941A56">
            <w:pPr>
              <w:rPr>
                <w:rFonts w:ascii="Verdana" w:hAnsi="Verdana"/>
                <w:sz w:val="20"/>
                <w:szCs w:val="20"/>
                <w:lang w:val="lt-LT"/>
              </w:rPr>
            </w:pPr>
            <w:r w:rsidRPr="005850B1">
              <w:rPr>
                <w:rFonts w:ascii="Verdana" w:hAnsi="Verdana"/>
                <w:sz w:val="20"/>
                <w:szCs w:val="20"/>
                <w:lang w:val="lt-LT"/>
              </w:rPr>
              <w:t>Projektų įgyvendinimo planų  pateikimo tvarka</w:t>
            </w:r>
          </w:p>
        </w:tc>
        <w:tc>
          <w:tcPr>
            <w:tcW w:w="7371" w:type="dxa"/>
          </w:tcPr>
          <w:p w14:paraId="038F8DFC" w14:textId="77777777" w:rsidR="000E5531" w:rsidRPr="005850B1" w:rsidRDefault="000E5531" w:rsidP="000E5531">
            <w:pPr>
              <w:rPr>
                <w:rFonts w:ascii="Verdana" w:hAnsi="Verdana"/>
                <w:sz w:val="20"/>
                <w:szCs w:val="20"/>
                <w:lang w:val="lt-LT"/>
              </w:rPr>
            </w:pPr>
            <w:r w:rsidRPr="005850B1">
              <w:rPr>
                <w:rFonts w:ascii="Verdana" w:hAnsi="Verdana"/>
                <w:sz w:val="20"/>
                <w:szCs w:val="20"/>
                <w:lang w:val="lt-LT"/>
              </w:rPr>
              <w:t xml:space="preserve">Projektų įgyvendinimo planas (toliau – PĮP) turi būti parengtas pagal PAFT 1 priedą (PĮP forma pridedama).  </w:t>
            </w:r>
          </w:p>
          <w:p w14:paraId="52AA91E2" w14:textId="77777777" w:rsidR="002737E5" w:rsidRPr="005850B1" w:rsidRDefault="000E5531" w:rsidP="000E5531">
            <w:pPr>
              <w:rPr>
                <w:rFonts w:ascii="Verdana" w:hAnsi="Verdana"/>
                <w:sz w:val="20"/>
                <w:szCs w:val="20"/>
                <w:lang w:val="lt-LT"/>
              </w:rPr>
            </w:pPr>
            <w:r w:rsidRPr="005850B1">
              <w:rPr>
                <w:rFonts w:ascii="Verdana" w:hAnsi="Verdana"/>
                <w:sz w:val="20"/>
                <w:szCs w:val="20"/>
                <w:lang w:val="lt-LT"/>
              </w:rPr>
              <w:t xml:space="preserve">Parengtas PĮP (su visais privalomais priedais) pasirašomas kvalifikuotu elektroniniu parašu, </w:t>
            </w:r>
            <w:proofErr w:type="spellStart"/>
            <w:r w:rsidRPr="005850B1">
              <w:rPr>
                <w:rFonts w:ascii="Verdana" w:hAnsi="Verdana"/>
                <w:sz w:val="20"/>
                <w:szCs w:val="20"/>
                <w:lang w:val="lt-LT"/>
              </w:rPr>
              <w:t>adoc</w:t>
            </w:r>
            <w:proofErr w:type="spellEnd"/>
            <w:r w:rsidRPr="005850B1">
              <w:rPr>
                <w:rFonts w:ascii="Verdana" w:hAnsi="Verdana"/>
                <w:sz w:val="20"/>
                <w:szCs w:val="20"/>
                <w:lang w:val="lt-LT"/>
              </w:rPr>
              <w:t xml:space="preserve"> formatu ir teikiamas el. paštu </w:t>
            </w:r>
            <w:proofErr w:type="spellStart"/>
            <w:r w:rsidRPr="005850B1">
              <w:rPr>
                <w:rFonts w:ascii="Verdana" w:hAnsi="Verdana"/>
                <w:sz w:val="20"/>
                <w:szCs w:val="20"/>
                <w:lang w:val="lt-LT"/>
              </w:rPr>
              <w:t>esinvesticijos@inovacijuagentura.lt</w:t>
            </w:r>
            <w:proofErr w:type="spellEnd"/>
            <w:r w:rsidRPr="005850B1">
              <w:rPr>
                <w:rFonts w:ascii="Verdana" w:hAnsi="Verdana"/>
                <w:sz w:val="20"/>
                <w:szCs w:val="20"/>
                <w:lang w:val="lt-LT"/>
              </w:rPr>
              <w:t xml:space="preserve">  (laiško dydis negali būti didesnis nei 25 MB)</w:t>
            </w:r>
          </w:p>
          <w:p w14:paraId="087C7DDA" w14:textId="74AB622A" w:rsidR="005850B1" w:rsidRPr="005850B1" w:rsidRDefault="005850B1" w:rsidP="000E5531">
            <w:pPr>
              <w:rPr>
                <w:rFonts w:ascii="Verdana" w:hAnsi="Verdana"/>
                <w:sz w:val="20"/>
                <w:szCs w:val="20"/>
                <w:lang w:val="lt-LT"/>
              </w:rPr>
            </w:pPr>
            <w:r w:rsidRPr="005850B1">
              <w:rPr>
                <w:rFonts w:ascii="Verdana" w:hAnsi="Verdana"/>
                <w:sz w:val="20"/>
                <w:szCs w:val="20"/>
                <w:shd w:val="clear" w:color="auto" w:fill="FFFFFF"/>
                <w:lang w:val="lt-LT"/>
              </w:rPr>
              <w:t>Įsteigus Europos Sąjungos investicijų administravimo informacinę sistemą (INVESTIS) parengtas PĮP (su visais privalomais priedais) turės būti teikiamas tik per INVESTIS duomenų mainų svetainę.</w:t>
            </w:r>
          </w:p>
        </w:tc>
      </w:tr>
      <w:tr w:rsidR="002737E5" w:rsidRPr="005850B1" w14:paraId="30CA64C3" w14:textId="77777777" w:rsidTr="65614C08">
        <w:tc>
          <w:tcPr>
            <w:tcW w:w="3256" w:type="dxa"/>
          </w:tcPr>
          <w:p w14:paraId="09FEF5C8" w14:textId="04D6B831" w:rsidR="002737E5" w:rsidRPr="005850B1" w:rsidRDefault="00B86B84">
            <w:pPr>
              <w:rPr>
                <w:rFonts w:ascii="Verdana" w:hAnsi="Verdana"/>
                <w:sz w:val="20"/>
                <w:szCs w:val="20"/>
                <w:lang w:val="lt-LT"/>
              </w:rPr>
            </w:pPr>
            <w:r w:rsidRPr="005850B1">
              <w:rPr>
                <w:rFonts w:ascii="Verdana" w:hAnsi="Verdana"/>
                <w:sz w:val="20"/>
                <w:szCs w:val="20"/>
                <w:lang w:val="lt-LT"/>
              </w:rPr>
              <w:t>Konsultacijos (el. paštas, telefonas)</w:t>
            </w:r>
          </w:p>
        </w:tc>
        <w:tc>
          <w:tcPr>
            <w:tcW w:w="7371" w:type="dxa"/>
          </w:tcPr>
          <w:p w14:paraId="544910C7" w14:textId="0F5A3C17" w:rsidR="000E7876" w:rsidRPr="005850B1" w:rsidRDefault="000E7876" w:rsidP="000E7876">
            <w:pPr>
              <w:rPr>
                <w:rFonts w:ascii="Verdana" w:hAnsi="Verdana"/>
                <w:sz w:val="20"/>
                <w:szCs w:val="20"/>
                <w:lang w:val="lt-LT"/>
              </w:rPr>
            </w:pPr>
            <w:r w:rsidRPr="005850B1">
              <w:rPr>
                <w:rFonts w:ascii="Verdana" w:hAnsi="Verdana"/>
                <w:sz w:val="20"/>
                <w:szCs w:val="20"/>
                <w:lang w:val="lt-LT"/>
              </w:rPr>
              <w:t>Kontaktinis centras, tel. +370 700 77 055</w:t>
            </w:r>
          </w:p>
          <w:p w14:paraId="2E9D01A2" w14:textId="77777777" w:rsidR="000E7876" w:rsidRPr="005850B1" w:rsidRDefault="000E7876" w:rsidP="000E7876">
            <w:pPr>
              <w:rPr>
                <w:rFonts w:ascii="Verdana" w:hAnsi="Verdana"/>
                <w:sz w:val="20"/>
                <w:szCs w:val="20"/>
                <w:lang w:val="lt-LT"/>
              </w:rPr>
            </w:pPr>
          </w:p>
          <w:p w14:paraId="58547F90" w14:textId="7890C96D" w:rsidR="000E7876" w:rsidRPr="005850B1" w:rsidRDefault="00383816" w:rsidP="000E7876">
            <w:pPr>
              <w:rPr>
                <w:rFonts w:ascii="Verdana" w:hAnsi="Verdana"/>
                <w:sz w:val="20"/>
                <w:szCs w:val="20"/>
                <w:lang w:val="lt-LT"/>
              </w:rPr>
            </w:pPr>
            <w:r w:rsidRPr="005850B1">
              <w:rPr>
                <w:rFonts w:ascii="Verdana" w:hAnsi="Verdana"/>
                <w:sz w:val="20"/>
                <w:szCs w:val="20"/>
                <w:lang w:val="lt-LT"/>
              </w:rPr>
              <w:t>Viešųjų</w:t>
            </w:r>
            <w:r w:rsidR="00AF2074" w:rsidRPr="005850B1">
              <w:rPr>
                <w:rFonts w:ascii="Verdana" w:hAnsi="Verdana"/>
                <w:sz w:val="20"/>
                <w:szCs w:val="20"/>
                <w:lang w:val="lt-LT"/>
              </w:rPr>
              <w:t xml:space="preserve"> </w:t>
            </w:r>
            <w:r w:rsidR="004A34ED" w:rsidRPr="005850B1">
              <w:rPr>
                <w:rFonts w:ascii="Verdana" w:hAnsi="Verdana"/>
                <w:sz w:val="20"/>
                <w:szCs w:val="20"/>
                <w:lang w:val="lt-LT"/>
              </w:rPr>
              <w:t>investicijų skyriaus</w:t>
            </w:r>
            <w:r w:rsidR="002A62FC" w:rsidRPr="005850B1">
              <w:rPr>
                <w:rFonts w:ascii="Verdana" w:hAnsi="Verdana"/>
                <w:sz w:val="20"/>
                <w:szCs w:val="20"/>
                <w:lang w:val="lt-LT"/>
              </w:rPr>
              <w:t xml:space="preserve"> </w:t>
            </w:r>
            <w:r w:rsidR="000E7876" w:rsidRPr="005850B1">
              <w:rPr>
                <w:rFonts w:ascii="Verdana" w:hAnsi="Verdana"/>
                <w:sz w:val="20"/>
                <w:szCs w:val="20"/>
                <w:lang w:val="lt-LT"/>
              </w:rPr>
              <w:t xml:space="preserve">vadovė </w:t>
            </w:r>
            <w:r w:rsidR="00D42F77" w:rsidRPr="005850B1">
              <w:rPr>
                <w:rFonts w:ascii="Verdana" w:hAnsi="Verdana"/>
                <w:sz w:val="20"/>
                <w:szCs w:val="20"/>
                <w:lang w:val="lt-LT"/>
              </w:rPr>
              <w:t>Vaida Lapinskienė</w:t>
            </w:r>
            <w:r w:rsidR="000E7876" w:rsidRPr="005850B1">
              <w:rPr>
                <w:rFonts w:ascii="Verdana" w:hAnsi="Verdana"/>
                <w:sz w:val="20"/>
                <w:szCs w:val="20"/>
                <w:lang w:val="lt-LT"/>
              </w:rPr>
              <w:t>, tel. +370</w:t>
            </w:r>
            <w:r w:rsidR="009A013C" w:rsidRPr="005850B1">
              <w:rPr>
                <w:rFonts w:ascii="Verdana" w:hAnsi="Verdana"/>
                <w:sz w:val="20"/>
                <w:szCs w:val="20"/>
                <w:lang w:val="lt-LT"/>
              </w:rPr>
              <w:t> </w:t>
            </w:r>
            <w:r w:rsidR="000E7876" w:rsidRPr="005850B1">
              <w:rPr>
                <w:rFonts w:ascii="Verdana" w:hAnsi="Verdana"/>
                <w:sz w:val="20"/>
                <w:szCs w:val="20"/>
                <w:lang w:val="lt-LT"/>
              </w:rPr>
              <w:t>6</w:t>
            </w:r>
            <w:r w:rsidR="009A013C" w:rsidRPr="005850B1">
              <w:rPr>
                <w:rFonts w:ascii="Verdana" w:hAnsi="Verdana"/>
                <w:sz w:val="20"/>
                <w:szCs w:val="20"/>
                <w:lang w:val="lt-LT"/>
              </w:rPr>
              <w:t>19 85 099</w:t>
            </w:r>
            <w:r w:rsidR="000E7876" w:rsidRPr="005850B1">
              <w:rPr>
                <w:rFonts w:ascii="Verdana" w:hAnsi="Verdana"/>
                <w:sz w:val="20"/>
                <w:szCs w:val="20"/>
                <w:lang w:val="lt-LT"/>
              </w:rPr>
              <w:t xml:space="preserve"> </w:t>
            </w:r>
          </w:p>
          <w:p w14:paraId="3DDF41DD" w14:textId="77777777" w:rsidR="000E7876" w:rsidRPr="005850B1" w:rsidRDefault="000E7876" w:rsidP="00D97A00">
            <w:pPr>
              <w:rPr>
                <w:rFonts w:ascii="Verdana" w:hAnsi="Verdana"/>
                <w:sz w:val="20"/>
                <w:szCs w:val="20"/>
                <w:lang w:val="lt-LT"/>
              </w:rPr>
            </w:pPr>
          </w:p>
          <w:p w14:paraId="1527BEAB" w14:textId="69C000B3" w:rsidR="002737E5" w:rsidRPr="005850B1" w:rsidRDefault="000E7876" w:rsidP="000E7876">
            <w:pPr>
              <w:rPr>
                <w:rFonts w:ascii="Verdana" w:hAnsi="Verdana"/>
                <w:sz w:val="20"/>
                <w:szCs w:val="20"/>
                <w:lang w:val="lt-LT"/>
              </w:rPr>
            </w:pPr>
            <w:r w:rsidRPr="005850B1">
              <w:rPr>
                <w:rFonts w:ascii="Verdana" w:hAnsi="Verdana"/>
                <w:sz w:val="20"/>
                <w:szCs w:val="20"/>
                <w:lang w:val="lt-LT"/>
              </w:rPr>
              <w:t xml:space="preserve">El. paštas: </w:t>
            </w:r>
            <w:r w:rsidR="009A013C" w:rsidRPr="005850B1">
              <w:rPr>
                <w:rFonts w:ascii="Verdana" w:hAnsi="Verdana"/>
                <w:sz w:val="20"/>
                <w:szCs w:val="20"/>
                <w:lang w:val="lt-LT"/>
              </w:rPr>
              <w:t>v.lapinskiene</w:t>
            </w:r>
            <w:r w:rsidRPr="005850B1">
              <w:rPr>
                <w:rFonts w:ascii="Verdana" w:hAnsi="Verdana"/>
                <w:sz w:val="20"/>
                <w:szCs w:val="20"/>
                <w:lang w:val="lt-LT"/>
              </w:rPr>
              <w:t>@inovacijuagentura.lt</w:t>
            </w:r>
          </w:p>
        </w:tc>
      </w:tr>
      <w:tr w:rsidR="002737E5" w:rsidRPr="005850B1" w14:paraId="50A631CD" w14:textId="77777777" w:rsidTr="65614C08">
        <w:tc>
          <w:tcPr>
            <w:tcW w:w="3256" w:type="dxa"/>
          </w:tcPr>
          <w:p w14:paraId="5F8860FC" w14:textId="53013ECB" w:rsidR="002737E5" w:rsidRPr="005850B1" w:rsidRDefault="002737E5">
            <w:pPr>
              <w:rPr>
                <w:rFonts w:ascii="Verdana" w:hAnsi="Verdana"/>
                <w:sz w:val="20"/>
                <w:szCs w:val="20"/>
                <w:lang w:val="lt-LT"/>
              </w:rPr>
            </w:pPr>
            <w:r w:rsidRPr="005850B1">
              <w:rPr>
                <w:rFonts w:ascii="Verdana" w:hAnsi="Verdana"/>
                <w:sz w:val="20"/>
                <w:szCs w:val="20"/>
                <w:lang w:val="lt-LT"/>
              </w:rPr>
              <w:t>Interneto svetainės, kurioje galima rasti kvietimo dokumentus, adresas</w:t>
            </w:r>
          </w:p>
        </w:tc>
        <w:tc>
          <w:tcPr>
            <w:tcW w:w="7371" w:type="dxa"/>
          </w:tcPr>
          <w:p w14:paraId="449DC4B1" w14:textId="6E7A1389" w:rsidR="00EF4589" w:rsidRPr="005850B1" w:rsidRDefault="00000000" w:rsidP="00CD00AC">
            <w:pPr>
              <w:rPr>
                <w:rFonts w:ascii="Verdana" w:hAnsi="Verdana"/>
                <w:sz w:val="20"/>
                <w:szCs w:val="20"/>
                <w:lang w:val="lt-LT"/>
              </w:rPr>
            </w:pPr>
            <w:hyperlink r:id="rId9" w:history="1">
              <w:r w:rsidR="00CD00AC" w:rsidRPr="005850B1">
                <w:rPr>
                  <w:rStyle w:val="Hipersaitas"/>
                  <w:rFonts w:ascii="Verdana" w:hAnsi="Verdana"/>
                  <w:sz w:val="20"/>
                  <w:szCs w:val="20"/>
                  <w:lang w:val="lt-LT"/>
                </w:rPr>
                <w:t>www.inovacijuagentura.lt</w:t>
              </w:r>
            </w:hyperlink>
            <w:r w:rsidR="002F6BAA" w:rsidRPr="005850B1">
              <w:rPr>
                <w:rFonts w:ascii="Verdana" w:hAnsi="Verdana"/>
                <w:sz w:val="20"/>
                <w:szCs w:val="20"/>
                <w:lang w:val="lt-LT"/>
              </w:rPr>
              <w:t xml:space="preserve">;  </w:t>
            </w:r>
            <w:hyperlink r:id="rId10" w:history="1">
              <w:r w:rsidR="00CD00AC" w:rsidRPr="005850B1">
                <w:rPr>
                  <w:rStyle w:val="Hipersaitas"/>
                  <w:rFonts w:ascii="Verdana" w:hAnsi="Verdana"/>
                  <w:sz w:val="20"/>
                  <w:szCs w:val="20"/>
                  <w:lang w:val="lt-LT"/>
                </w:rPr>
                <w:t>www.esinvesticijos.lt</w:t>
              </w:r>
            </w:hyperlink>
          </w:p>
          <w:p w14:paraId="0DFD7CB7" w14:textId="60B96D2A" w:rsidR="00CD00AC" w:rsidRPr="005850B1" w:rsidRDefault="00CD00AC" w:rsidP="00CD00AC">
            <w:pPr>
              <w:rPr>
                <w:rFonts w:ascii="Verdana" w:hAnsi="Verdana"/>
                <w:sz w:val="20"/>
                <w:szCs w:val="20"/>
                <w:lang w:val="lt-LT"/>
              </w:rPr>
            </w:pPr>
          </w:p>
        </w:tc>
      </w:tr>
      <w:tr w:rsidR="002737E5" w:rsidRPr="005850B1" w14:paraId="73F2EF33" w14:textId="77777777" w:rsidTr="65614C08">
        <w:tc>
          <w:tcPr>
            <w:tcW w:w="3256" w:type="dxa"/>
          </w:tcPr>
          <w:p w14:paraId="12D15D97" w14:textId="2A5FF86B" w:rsidR="002737E5" w:rsidRPr="005850B1" w:rsidRDefault="002F6BAA">
            <w:pPr>
              <w:rPr>
                <w:rFonts w:ascii="Verdana" w:hAnsi="Verdana"/>
                <w:sz w:val="20"/>
                <w:szCs w:val="20"/>
                <w:lang w:val="lt-LT"/>
              </w:rPr>
            </w:pPr>
            <w:r w:rsidRPr="005850B1">
              <w:rPr>
                <w:rFonts w:ascii="Verdana" w:hAnsi="Verdana"/>
                <w:sz w:val="20"/>
                <w:szCs w:val="20"/>
                <w:lang w:val="lt-LT"/>
              </w:rPr>
              <w:t>Dokumentai</w:t>
            </w:r>
          </w:p>
        </w:tc>
        <w:tc>
          <w:tcPr>
            <w:tcW w:w="7371" w:type="dxa"/>
          </w:tcPr>
          <w:p w14:paraId="73ACD51E" w14:textId="77777777" w:rsidR="005850B1" w:rsidRPr="005850B1" w:rsidRDefault="005850B1" w:rsidP="005850B1">
            <w:pPr>
              <w:pStyle w:val="paragraph"/>
              <w:spacing w:before="0" w:beforeAutospacing="0" w:after="0" w:afterAutospacing="0"/>
              <w:jc w:val="both"/>
              <w:textAlignment w:val="baseline"/>
              <w:rPr>
                <w:rFonts w:ascii="Verdana" w:hAnsi="Verdana"/>
                <w:sz w:val="20"/>
                <w:szCs w:val="20"/>
              </w:rPr>
            </w:pPr>
            <w:r w:rsidRPr="005850B1">
              <w:rPr>
                <w:rStyle w:val="normaltextrun"/>
                <w:rFonts w:ascii="Verdana" w:hAnsi="Verdana"/>
                <w:sz w:val="20"/>
                <w:szCs w:val="20"/>
              </w:rPr>
              <w:t>1. Kvietimo skelbimas;</w:t>
            </w:r>
            <w:r w:rsidRPr="005850B1">
              <w:rPr>
                <w:rStyle w:val="eop"/>
                <w:rFonts w:ascii="Verdana" w:hAnsi="Verdana"/>
                <w:sz w:val="20"/>
                <w:szCs w:val="20"/>
              </w:rPr>
              <w:t> </w:t>
            </w:r>
          </w:p>
          <w:p w14:paraId="4878CDD1" w14:textId="77777777" w:rsidR="005850B1" w:rsidRPr="005850B1" w:rsidRDefault="005850B1" w:rsidP="005850B1">
            <w:pPr>
              <w:pStyle w:val="paragraph"/>
              <w:spacing w:before="0" w:beforeAutospacing="0" w:after="0" w:afterAutospacing="0"/>
              <w:jc w:val="both"/>
              <w:textAlignment w:val="baseline"/>
              <w:rPr>
                <w:rFonts w:ascii="Verdana" w:hAnsi="Verdana"/>
                <w:sz w:val="20"/>
                <w:szCs w:val="20"/>
              </w:rPr>
            </w:pPr>
            <w:r w:rsidRPr="005850B1">
              <w:rPr>
                <w:rStyle w:val="normaltextrun"/>
                <w:rFonts w:ascii="Verdana" w:hAnsi="Verdana"/>
                <w:sz w:val="20"/>
                <w:szCs w:val="20"/>
              </w:rPr>
              <w:t>2. Projektų administravimo ir finansavimo taisyklės (toliau – PAFT) (</w:t>
            </w:r>
            <w:hyperlink r:id="rId11" w:tgtFrame="_blank" w:history="1">
              <w:r w:rsidRPr="005850B1">
                <w:rPr>
                  <w:rStyle w:val="normaltextrun"/>
                  <w:rFonts w:ascii="Verdana" w:hAnsi="Verdana"/>
                  <w:color w:val="0563C1"/>
                  <w:sz w:val="20"/>
                  <w:szCs w:val="20"/>
                  <w:u w:val="single"/>
                </w:rPr>
                <w:t>https://www.e-tar.lt/portal/lt/legalAct/14e33320f1ed11ec8fa7d02a65c371ad/asr</w:t>
              </w:r>
            </w:hyperlink>
            <w:r w:rsidRPr="005850B1">
              <w:rPr>
                <w:rStyle w:val="normaltextrun"/>
                <w:rFonts w:ascii="Verdana" w:hAnsi="Verdana"/>
                <w:sz w:val="20"/>
                <w:szCs w:val="20"/>
              </w:rPr>
              <w:t>); </w:t>
            </w:r>
            <w:r w:rsidRPr="005850B1">
              <w:rPr>
                <w:rStyle w:val="eop"/>
                <w:rFonts w:ascii="Verdana" w:hAnsi="Verdana"/>
                <w:sz w:val="20"/>
                <w:szCs w:val="20"/>
              </w:rPr>
              <w:t> </w:t>
            </w:r>
          </w:p>
          <w:p w14:paraId="5D7CB6BF" w14:textId="77777777" w:rsidR="005850B1" w:rsidRPr="005850B1" w:rsidRDefault="005850B1" w:rsidP="005850B1">
            <w:pPr>
              <w:pStyle w:val="paragraph"/>
              <w:spacing w:before="0" w:beforeAutospacing="0" w:after="0" w:afterAutospacing="0"/>
              <w:jc w:val="both"/>
              <w:textAlignment w:val="baseline"/>
              <w:rPr>
                <w:rFonts w:ascii="Verdana" w:hAnsi="Verdana"/>
                <w:sz w:val="20"/>
                <w:szCs w:val="20"/>
              </w:rPr>
            </w:pPr>
            <w:r w:rsidRPr="005850B1">
              <w:rPr>
                <w:rStyle w:val="normaltextrun"/>
                <w:rFonts w:ascii="Verdana" w:hAnsi="Verdana"/>
                <w:sz w:val="20"/>
                <w:szCs w:val="20"/>
              </w:rPr>
              <w:t>3. PAFT priedas Projekto įgyvendinimo plano (toliau – PĮP) forma (PAFT 1 priedas) (</w:t>
            </w:r>
            <w:hyperlink r:id="rId12" w:tgtFrame="_blank" w:history="1">
              <w:r w:rsidRPr="005850B1">
                <w:rPr>
                  <w:rStyle w:val="normaltextrun"/>
                  <w:rFonts w:ascii="Verdana" w:hAnsi="Verdana"/>
                  <w:color w:val="0563C1"/>
                  <w:sz w:val="20"/>
                  <w:szCs w:val="20"/>
                  <w:u w:val="single"/>
                </w:rPr>
                <w:t>https://2021.esinvesticijos.lt/dokumentai/projekto-igyvendinimo-plano-forma</w:t>
              </w:r>
            </w:hyperlink>
            <w:r w:rsidRPr="005850B1">
              <w:rPr>
                <w:rStyle w:val="normaltextrun"/>
                <w:rFonts w:ascii="Verdana" w:hAnsi="Verdana"/>
                <w:sz w:val="20"/>
                <w:szCs w:val="20"/>
              </w:rPr>
              <w:t>);</w:t>
            </w:r>
            <w:r w:rsidRPr="005850B1">
              <w:rPr>
                <w:rStyle w:val="eop"/>
                <w:rFonts w:ascii="Verdana" w:hAnsi="Verdana"/>
                <w:sz w:val="20"/>
                <w:szCs w:val="20"/>
              </w:rPr>
              <w:t> </w:t>
            </w:r>
          </w:p>
          <w:p w14:paraId="4D2B8121" w14:textId="26927960" w:rsidR="005850B1" w:rsidRDefault="005850B1" w:rsidP="0247FE8F">
            <w:pPr>
              <w:pStyle w:val="paragraph"/>
              <w:spacing w:before="0" w:beforeAutospacing="0" w:after="0" w:afterAutospacing="0"/>
              <w:jc w:val="both"/>
            </w:pPr>
            <w:r w:rsidRPr="49301670">
              <w:rPr>
                <w:rStyle w:val="normaltextrun"/>
                <w:rFonts w:ascii="Verdana" w:hAnsi="Verdana"/>
                <w:sz w:val="20"/>
                <w:szCs w:val="20"/>
              </w:rPr>
              <w:t>4. Projektų finansavimo sąlygų aprašas (toliau – PFSA)</w:t>
            </w:r>
            <w:r w:rsidRPr="49301670">
              <w:rPr>
                <w:rStyle w:val="normaltextrun"/>
                <w:rFonts w:ascii="Verdana" w:hAnsi="Verdana"/>
                <w:color w:val="FF0000"/>
                <w:sz w:val="20"/>
                <w:szCs w:val="20"/>
              </w:rPr>
              <w:t xml:space="preserve"> </w:t>
            </w:r>
            <w:hyperlink r:id="rId13">
              <w:r w:rsidR="7442A2E0" w:rsidRPr="49301670">
                <w:rPr>
                  <w:rStyle w:val="Hipersaitas"/>
                </w:rPr>
                <w:t>4-359 Dėl Ekonomikos ir inovacijų ministro 2022 m. liepos 22 d. įsakymo Nr. 4-885 „Dėl 2022–2030 metų p... (e-</w:t>
              </w:r>
              <w:proofErr w:type="spellStart"/>
              <w:r w:rsidR="7442A2E0" w:rsidRPr="49301670">
                <w:rPr>
                  <w:rStyle w:val="Hipersaitas"/>
                </w:rPr>
                <w:t>tar.lt</w:t>
              </w:r>
              <w:proofErr w:type="spellEnd"/>
              <w:r w:rsidR="7442A2E0" w:rsidRPr="49301670">
                <w:rPr>
                  <w:rStyle w:val="Hipersaitas"/>
                </w:rPr>
                <w:t>)</w:t>
              </w:r>
            </w:hyperlink>
          </w:p>
          <w:p w14:paraId="49FD7461" w14:textId="40E5D3B1" w:rsidR="005850B1" w:rsidRPr="005850B1" w:rsidRDefault="09D86D7D" w:rsidP="65614C08">
            <w:pPr>
              <w:pStyle w:val="paragraph"/>
              <w:spacing w:before="0" w:beforeAutospacing="0" w:after="0" w:afterAutospacing="0"/>
              <w:jc w:val="both"/>
              <w:rPr>
                <w:rStyle w:val="normaltextrun"/>
                <w:rFonts w:ascii="Verdana" w:hAnsi="Verdana"/>
                <w:sz w:val="20"/>
                <w:szCs w:val="20"/>
                <w:lang w:val="lt"/>
              </w:rPr>
            </w:pPr>
            <w:r w:rsidRPr="65614C08">
              <w:rPr>
                <w:rStyle w:val="normaltextrun"/>
                <w:rFonts w:ascii="Verdana" w:hAnsi="Verdana"/>
                <w:sz w:val="20"/>
                <w:szCs w:val="20"/>
              </w:rPr>
              <w:t xml:space="preserve">5. </w:t>
            </w:r>
            <w:r w:rsidR="487D52AE" w:rsidRPr="65614C08">
              <w:rPr>
                <w:rStyle w:val="normaltextrun"/>
                <w:rFonts w:ascii="Verdana" w:hAnsi="Verdana"/>
                <w:sz w:val="20"/>
                <w:szCs w:val="20"/>
                <w:lang w:val="lt"/>
              </w:rPr>
              <w:t>Projekto (įskaitant jungtinį projektą) atitikties reikšmingos žalos nedarymo horizontaliajam principui vertinimo reikalavimų aprašas (PFSA 1 priedas)</w:t>
            </w:r>
            <w:r w:rsidR="27917441" w:rsidRPr="65614C08">
              <w:rPr>
                <w:rStyle w:val="normaltextrun"/>
                <w:rFonts w:ascii="Verdana" w:hAnsi="Verdana"/>
                <w:sz w:val="20"/>
                <w:szCs w:val="20"/>
                <w:lang w:val="lt"/>
              </w:rPr>
              <w:t xml:space="preserve"> </w:t>
            </w:r>
          </w:p>
          <w:p w14:paraId="1AC35247" w14:textId="7AC56917" w:rsidR="005850B1" w:rsidRPr="005850B1" w:rsidRDefault="450499E9" w:rsidP="65614C08">
            <w:pPr>
              <w:pStyle w:val="paragraph"/>
              <w:spacing w:before="0" w:beforeAutospacing="0" w:after="0" w:afterAutospacing="0"/>
              <w:jc w:val="both"/>
              <w:rPr>
                <w:rStyle w:val="normaltextrun"/>
                <w:rFonts w:ascii="Verdana" w:hAnsi="Verdana"/>
                <w:sz w:val="20"/>
                <w:szCs w:val="20"/>
                <w:lang w:val="lt"/>
              </w:rPr>
            </w:pPr>
            <w:r w:rsidRPr="65614C08">
              <w:rPr>
                <w:rStyle w:val="normaltextrun"/>
                <w:rFonts w:ascii="Verdana" w:hAnsi="Verdana"/>
                <w:sz w:val="20"/>
                <w:szCs w:val="20"/>
                <w:lang w:val="lt"/>
              </w:rPr>
              <w:t>(</w:t>
            </w:r>
            <w:r w:rsidR="27917441" w:rsidRPr="65614C08">
              <w:rPr>
                <w:rStyle w:val="normaltextrun"/>
                <w:rFonts w:ascii="Verdana" w:hAnsi="Verdana"/>
                <w:sz w:val="20"/>
                <w:szCs w:val="20"/>
                <w:lang w:val="lt"/>
              </w:rPr>
              <w:t>pridedama)</w:t>
            </w:r>
            <w:r w:rsidR="487D52AE" w:rsidRPr="65614C08">
              <w:rPr>
                <w:rStyle w:val="normaltextrun"/>
                <w:rFonts w:ascii="Verdana" w:hAnsi="Verdana"/>
                <w:sz w:val="20"/>
                <w:szCs w:val="20"/>
                <w:lang w:val="lt"/>
              </w:rPr>
              <w:t>;</w:t>
            </w:r>
          </w:p>
          <w:p w14:paraId="6695E486" w14:textId="7BFE15C9" w:rsidR="005850B1" w:rsidRPr="005850B1" w:rsidRDefault="487D52AE" w:rsidP="65614C08">
            <w:pPr>
              <w:pStyle w:val="paragraph"/>
              <w:spacing w:before="0" w:beforeAutospacing="0" w:after="0" w:afterAutospacing="0"/>
              <w:jc w:val="both"/>
              <w:rPr>
                <w:rFonts w:ascii="Verdana" w:hAnsi="Verdana"/>
                <w:sz w:val="20"/>
                <w:szCs w:val="20"/>
              </w:rPr>
            </w:pPr>
            <w:r w:rsidRPr="65614C08">
              <w:rPr>
                <w:rStyle w:val="normaltextrun"/>
                <w:rFonts w:ascii="Verdana" w:hAnsi="Verdana"/>
                <w:sz w:val="20"/>
                <w:szCs w:val="20"/>
              </w:rPr>
              <w:t>6</w:t>
            </w:r>
            <w:r w:rsidR="005850B1" w:rsidRPr="65614C08">
              <w:rPr>
                <w:rStyle w:val="normaltextrun"/>
                <w:rFonts w:ascii="Verdana" w:hAnsi="Verdana"/>
                <w:sz w:val="20"/>
                <w:szCs w:val="20"/>
              </w:rPr>
              <w:t>. PFSA 2 priedas, kuriame pateikiama informacija, reikalinga projekto atitikčiai projektų atrankos kriterijams įvertinti (pridedama);</w:t>
            </w:r>
            <w:r w:rsidR="005850B1" w:rsidRPr="65614C08">
              <w:rPr>
                <w:rStyle w:val="eop"/>
                <w:rFonts w:ascii="Verdana" w:hAnsi="Verdana"/>
                <w:sz w:val="20"/>
                <w:szCs w:val="20"/>
              </w:rPr>
              <w:t> </w:t>
            </w:r>
          </w:p>
          <w:p w14:paraId="1F6CC418" w14:textId="01A41A16" w:rsidR="005850B1" w:rsidRPr="005850B1" w:rsidRDefault="1DBFFE7A" w:rsidP="49301670">
            <w:pPr>
              <w:pStyle w:val="paragraph"/>
              <w:spacing w:before="0" w:beforeAutospacing="0" w:after="0" w:afterAutospacing="0"/>
              <w:jc w:val="both"/>
              <w:textAlignment w:val="baseline"/>
              <w:rPr>
                <w:rFonts w:ascii="Verdana" w:hAnsi="Verdana"/>
                <w:sz w:val="20"/>
                <w:szCs w:val="20"/>
              </w:rPr>
            </w:pPr>
            <w:r w:rsidRPr="49301670">
              <w:rPr>
                <w:rStyle w:val="normaltextrun"/>
                <w:rFonts w:ascii="Verdana" w:hAnsi="Verdana"/>
                <w:sz w:val="20"/>
                <w:szCs w:val="20"/>
              </w:rPr>
              <w:t>7</w:t>
            </w:r>
            <w:r w:rsidR="005850B1" w:rsidRPr="49301670">
              <w:rPr>
                <w:rStyle w:val="normaltextrun"/>
                <w:rFonts w:ascii="Verdana" w:hAnsi="Verdana"/>
                <w:sz w:val="20"/>
                <w:szCs w:val="20"/>
              </w:rPr>
              <w:t>. Stebėsenos rodiklių aprašymo kortelės (pridedama):</w:t>
            </w:r>
            <w:r w:rsidR="005850B1" w:rsidRPr="49301670">
              <w:rPr>
                <w:rStyle w:val="eop"/>
                <w:rFonts w:ascii="Verdana" w:hAnsi="Verdana"/>
                <w:sz w:val="20"/>
                <w:szCs w:val="20"/>
              </w:rPr>
              <w:t> </w:t>
            </w:r>
          </w:p>
          <w:p w14:paraId="2AAB9746" w14:textId="77777777" w:rsidR="005850B1" w:rsidRPr="005850B1" w:rsidRDefault="005850B1" w:rsidP="005850B1">
            <w:pPr>
              <w:jc w:val="both"/>
              <w:rPr>
                <w:rFonts w:ascii="Verdana" w:hAnsi="Verdana" w:cs="Times New Roman"/>
                <w:sz w:val="20"/>
                <w:szCs w:val="20"/>
                <w:lang w:val="lt-LT"/>
              </w:rPr>
            </w:pPr>
            <w:r w:rsidRPr="005850B1">
              <w:rPr>
                <w:rStyle w:val="normaltextrun"/>
                <w:rFonts w:ascii="Verdana" w:hAnsi="Verdana" w:cs="Times New Roman"/>
                <w:sz w:val="20"/>
                <w:szCs w:val="20"/>
                <w:lang w:val="lt-LT"/>
              </w:rPr>
              <w:t xml:space="preserve">-  </w:t>
            </w:r>
            <w:r w:rsidRPr="005850B1">
              <w:rPr>
                <w:rFonts w:ascii="Verdana" w:hAnsi="Verdana" w:cs="Times New Roman"/>
                <w:sz w:val="20"/>
                <w:szCs w:val="20"/>
                <w:lang w:val="lt-LT"/>
              </w:rPr>
              <w:t>Pagal mokslinių tyrimų ir eksperimentinės plėtros ir inovacijų (toliau – MTEPI) (sumaniosios specializacijos) prioritetus užmegzti kontaktai MTEPI srityje P-05-001-01-05-07-21 P.N.2. 4640;</w:t>
            </w:r>
          </w:p>
          <w:p w14:paraId="13D72802" w14:textId="77777777" w:rsidR="005850B1" w:rsidRPr="005850B1" w:rsidRDefault="005850B1" w:rsidP="005850B1">
            <w:pPr>
              <w:jc w:val="both"/>
              <w:rPr>
                <w:rFonts w:ascii="Verdana" w:hAnsi="Verdana" w:cs="Times New Roman"/>
                <w:sz w:val="20"/>
                <w:szCs w:val="20"/>
                <w:lang w:val="lt-LT"/>
              </w:rPr>
            </w:pPr>
            <w:r w:rsidRPr="005850B1">
              <w:rPr>
                <w:rStyle w:val="normaltextrun"/>
                <w:rFonts w:ascii="Verdana" w:hAnsi="Verdana" w:cs="Times New Roman"/>
                <w:sz w:val="20"/>
                <w:szCs w:val="20"/>
                <w:lang w:val="lt-LT"/>
              </w:rPr>
              <w:t xml:space="preserve">- </w:t>
            </w:r>
            <w:r w:rsidRPr="005850B1">
              <w:rPr>
                <w:rFonts w:ascii="Verdana" w:hAnsi="Verdana" w:cs="Times New Roman"/>
                <w:sz w:val="20"/>
                <w:szCs w:val="20"/>
                <w:lang w:val="lt-LT"/>
              </w:rPr>
              <w:t>Pagal MTEPI (sumaniosios specializacijos) prioritetus į MTEPI sritį pritraukta užsienio investuotojų R-05-001-01-05-07-24 R.N.2.5642;</w:t>
            </w:r>
          </w:p>
          <w:p w14:paraId="40268475" w14:textId="3C5EA5F7" w:rsidR="005850B1" w:rsidRPr="005850B1" w:rsidRDefault="095B6BB9" w:rsidP="49301670">
            <w:pPr>
              <w:pStyle w:val="paragraph"/>
              <w:spacing w:before="0" w:beforeAutospacing="0" w:after="0" w:afterAutospacing="0"/>
              <w:jc w:val="both"/>
              <w:textAlignment w:val="baseline"/>
              <w:rPr>
                <w:rFonts w:ascii="Verdana" w:hAnsi="Verdana"/>
                <w:sz w:val="20"/>
                <w:szCs w:val="20"/>
              </w:rPr>
            </w:pPr>
            <w:r w:rsidRPr="49301670">
              <w:rPr>
                <w:rStyle w:val="normaltextrun"/>
                <w:rFonts w:ascii="Verdana" w:hAnsi="Verdana"/>
                <w:sz w:val="20"/>
                <w:szCs w:val="20"/>
              </w:rPr>
              <w:t>8</w:t>
            </w:r>
            <w:r w:rsidR="005850B1" w:rsidRPr="49301670">
              <w:rPr>
                <w:rStyle w:val="normaltextrun"/>
                <w:rFonts w:ascii="Verdana" w:hAnsi="Verdana"/>
                <w:sz w:val="20"/>
                <w:szCs w:val="20"/>
              </w:rPr>
              <w:t xml:space="preserve">. Projekto sutarties forma: </w:t>
            </w:r>
            <w:hyperlink r:id="rId14">
              <w:r w:rsidR="005850B1" w:rsidRPr="49301670">
                <w:rPr>
                  <w:rStyle w:val="normaltextrun"/>
                  <w:rFonts w:ascii="Verdana" w:hAnsi="Verdana"/>
                  <w:color w:val="0563C1"/>
                  <w:sz w:val="20"/>
                  <w:szCs w:val="20"/>
                  <w:u w:val="single"/>
                </w:rPr>
                <w:t>https://2021.esinvesticijos.lt/dokumentai/projekto-sutarties-forma-1</w:t>
              </w:r>
            </w:hyperlink>
            <w:r w:rsidR="005850B1" w:rsidRPr="49301670">
              <w:rPr>
                <w:rStyle w:val="normaltextrun"/>
                <w:rFonts w:ascii="Verdana" w:hAnsi="Verdana"/>
                <w:sz w:val="20"/>
                <w:szCs w:val="20"/>
              </w:rPr>
              <w:t> </w:t>
            </w:r>
            <w:r w:rsidR="005850B1" w:rsidRPr="49301670">
              <w:rPr>
                <w:rStyle w:val="eop"/>
                <w:rFonts w:ascii="Verdana" w:hAnsi="Verdana"/>
                <w:sz w:val="20"/>
                <w:szCs w:val="20"/>
              </w:rPr>
              <w:t> ;</w:t>
            </w:r>
          </w:p>
          <w:p w14:paraId="20B44B08" w14:textId="24E1EC30" w:rsidR="005850B1" w:rsidRPr="005850B1" w:rsidRDefault="6B109B77" w:rsidP="49301670">
            <w:pPr>
              <w:pStyle w:val="paragraph"/>
              <w:spacing w:before="0" w:beforeAutospacing="0" w:after="0" w:afterAutospacing="0"/>
              <w:jc w:val="both"/>
              <w:textAlignment w:val="baseline"/>
              <w:rPr>
                <w:rFonts w:ascii="Verdana" w:hAnsi="Verdana"/>
                <w:sz w:val="20"/>
                <w:szCs w:val="20"/>
              </w:rPr>
            </w:pPr>
            <w:r w:rsidRPr="49301670">
              <w:rPr>
                <w:rStyle w:val="normaltextrun"/>
                <w:rFonts w:ascii="Verdana" w:hAnsi="Verdana"/>
                <w:sz w:val="20"/>
                <w:szCs w:val="20"/>
              </w:rPr>
              <w:lastRenderedPageBreak/>
              <w:t>9</w:t>
            </w:r>
            <w:r w:rsidR="005850B1" w:rsidRPr="49301670">
              <w:rPr>
                <w:rStyle w:val="normaltextrun"/>
                <w:rFonts w:ascii="Verdana" w:hAnsi="Verdana"/>
                <w:sz w:val="20"/>
                <w:szCs w:val="20"/>
              </w:rPr>
              <w:t>. Lietuvos Respublikos Vyriausybės 2016 m. sausio 6 d. nutarimas Nr. 5 „Dėl Sostinės regiono ir Vidurio ir vakarų Lietuvos regiono sudarymo“ (</w:t>
            </w:r>
            <w:hyperlink r:id="rId15">
              <w:r w:rsidR="005850B1" w:rsidRPr="49301670">
                <w:rPr>
                  <w:rStyle w:val="normaltextrun"/>
                  <w:rFonts w:ascii="Verdana" w:hAnsi="Verdana"/>
                  <w:color w:val="0563C1"/>
                  <w:sz w:val="20"/>
                  <w:szCs w:val="20"/>
                  <w:u w:val="single"/>
                </w:rPr>
                <w:t>https://www.e-tar.lt/portal/lt/legalAct/5bb097a0b92011e5a6588fb85a3cc84b</w:t>
              </w:r>
            </w:hyperlink>
            <w:r w:rsidR="005850B1" w:rsidRPr="49301670">
              <w:rPr>
                <w:rStyle w:val="normaltextrun"/>
                <w:rFonts w:ascii="Verdana" w:hAnsi="Verdana"/>
                <w:sz w:val="20"/>
                <w:szCs w:val="20"/>
              </w:rPr>
              <w:t>);</w:t>
            </w:r>
            <w:r w:rsidR="005850B1" w:rsidRPr="49301670">
              <w:rPr>
                <w:rStyle w:val="eop"/>
                <w:rFonts w:ascii="Verdana" w:hAnsi="Verdana"/>
                <w:sz w:val="20"/>
                <w:szCs w:val="20"/>
              </w:rPr>
              <w:t> </w:t>
            </w:r>
          </w:p>
          <w:p w14:paraId="3FAF332B" w14:textId="087120D5" w:rsidR="005850B1" w:rsidRPr="005850B1" w:rsidRDefault="20CFEEA2" w:rsidP="49301670">
            <w:pPr>
              <w:pStyle w:val="paragraph"/>
              <w:spacing w:before="0" w:beforeAutospacing="0" w:after="0" w:afterAutospacing="0"/>
              <w:jc w:val="both"/>
              <w:textAlignment w:val="baseline"/>
              <w:rPr>
                <w:rStyle w:val="eop"/>
                <w:rFonts w:ascii="Verdana" w:hAnsi="Verdana"/>
                <w:sz w:val="20"/>
                <w:szCs w:val="20"/>
              </w:rPr>
            </w:pPr>
            <w:r w:rsidRPr="49301670">
              <w:rPr>
                <w:rStyle w:val="normaltextrun"/>
                <w:rFonts w:ascii="Verdana" w:hAnsi="Verdana"/>
                <w:sz w:val="20"/>
                <w:szCs w:val="20"/>
              </w:rPr>
              <w:t>10</w:t>
            </w:r>
            <w:r w:rsidR="005850B1" w:rsidRPr="49301670">
              <w:rPr>
                <w:rStyle w:val="normaltextrun"/>
                <w:rFonts w:ascii="Verdana" w:hAnsi="Verdana"/>
                <w:sz w:val="20"/>
                <w:szCs w:val="20"/>
              </w:rPr>
              <w:t>. Investicijų programos projektų išlaidų paskirstymo regionams rekomendacijos (</w:t>
            </w:r>
            <w:hyperlink r:id="rId16">
              <w:r w:rsidR="005850B1" w:rsidRPr="49301670">
                <w:rPr>
                  <w:rStyle w:val="normaltextrun"/>
                  <w:rFonts w:ascii="Verdana" w:hAnsi="Verdana"/>
                  <w:color w:val="0563C1"/>
                  <w:sz w:val="20"/>
                  <w:szCs w:val="20"/>
                  <w:u w:val="single"/>
                </w:rPr>
                <w:t>https://2021.esinvesticijos.lt/dokumentai/2021-2027-metu-europos-sajungos-fondu-investiciju-programos-projektu-islaidu-paskirstymo-regionams-rekomendacijos</w:t>
              </w:r>
            </w:hyperlink>
            <w:r w:rsidR="005850B1" w:rsidRPr="49301670">
              <w:rPr>
                <w:rStyle w:val="normaltextrun"/>
                <w:rFonts w:ascii="Verdana" w:hAnsi="Verdana"/>
                <w:sz w:val="20"/>
                <w:szCs w:val="20"/>
              </w:rPr>
              <w:t xml:space="preserve"> )</w:t>
            </w:r>
            <w:r w:rsidR="005850B1" w:rsidRPr="49301670">
              <w:rPr>
                <w:rStyle w:val="eop"/>
                <w:rFonts w:ascii="Verdana" w:hAnsi="Verdana"/>
                <w:sz w:val="20"/>
                <w:szCs w:val="20"/>
              </w:rPr>
              <w:t>;</w:t>
            </w:r>
          </w:p>
          <w:p w14:paraId="050034B6" w14:textId="50FD0399" w:rsidR="002737E5" w:rsidRPr="005850B1" w:rsidRDefault="005850B1" w:rsidP="49301670">
            <w:pPr>
              <w:pStyle w:val="paragraph"/>
              <w:spacing w:before="0" w:beforeAutospacing="0" w:after="0" w:afterAutospacing="0"/>
              <w:jc w:val="both"/>
              <w:textAlignment w:val="baseline"/>
              <w:rPr>
                <w:rFonts w:ascii="Verdana" w:hAnsi="Verdana"/>
                <w:sz w:val="20"/>
                <w:szCs w:val="20"/>
              </w:rPr>
            </w:pPr>
            <w:r w:rsidRPr="49301670">
              <w:rPr>
                <w:rStyle w:val="eop"/>
                <w:rFonts w:ascii="Verdana" w:hAnsi="Verdana"/>
                <w:sz w:val="20"/>
                <w:szCs w:val="20"/>
              </w:rPr>
              <w:t>1</w:t>
            </w:r>
            <w:r w:rsidR="29486DA5" w:rsidRPr="49301670">
              <w:rPr>
                <w:rStyle w:val="eop"/>
                <w:rFonts w:ascii="Verdana" w:hAnsi="Verdana"/>
                <w:sz w:val="20"/>
                <w:szCs w:val="20"/>
              </w:rPr>
              <w:t>1</w:t>
            </w:r>
            <w:r w:rsidRPr="49301670">
              <w:rPr>
                <w:rStyle w:val="eop"/>
                <w:rFonts w:ascii="Verdana" w:hAnsi="Verdana"/>
                <w:sz w:val="20"/>
                <w:szCs w:val="20"/>
              </w:rPr>
              <w:t xml:space="preserve">. </w:t>
            </w:r>
            <w:hyperlink r:id="rId17" w:anchor="prevVersions">
              <w:r w:rsidRPr="49301670">
                <w:rPr>
                  <w:rStyle w:val="Hipersaitas"/>
                  <w:rFonts w:ascii="Verdana" w:hAnsi="Verdana"/>
                  <w:sz w:val="20"/>
                  <w:szCs w:val="20"/>
                </w:rPr>
                <w:t>Rekomendacijos dėl projektų išlaidų atitikties Europos Sąjungos fondų reikalavimams |2021-2027 ES investicijų interneto svetainė (</w:t>
              </w:r>
              <w:proofErr w:type="spellStart"/>
              <w:r w:rsidRPr="49301670">
                <w:rPr>
                  <w:rStyle w:val="Hipersaitas"/>
                  <w:rFonts w:ascii="Verdana" w:hAnsi="Verdana"/>
                  <w:sz w:val="20"/>
                  <w:szCs w:val="20"/>
                </w:rPr>
                <w:t>esinvesticijos.lt</w:t>
              </w:r>
              <w:proofErr w:type="spellEnd"/>
              <w:r w:rsidRPr="49301670">
                <w:rPr>
                  <w:rStyle w:val="Hipersaitas"/>
                  <w:rFonts w:ascii="Verdana" w:hAnsi="Verdana"/>
                  <w:sz w:val="20"/>
                  <w:szCs w:val="20"/>
                </w:rPr>
                <w:t>)</w:t>
              </w:r>
            </w:hyperlink>
            <w:r w:rsidRPr="49301670">
              <w:rPr>
                <w:rFonts w:ascii="Verdana" w:hAnsi="Verdana"/>
                <w:sz w:val="20"/>
                <w:szCs w:val="20"/>
              </w:rPr>
              <w:t>.</w:t>
            </w:r>
          </w:p>
        </w:tc>
      </w:tr>
      <w:tr w:rsidR="002737E5" w:rsidRPr="005850B1" w14:paraId="2262CF18" w14:textId="77777777" w:rsidTr="65614C08">
        <w:tc>
          <w:tcPr>
            <w:tcW w:w="3256" w:type="dxa"/>
          </w:tcPr>
          <w:p w14:paraId="49CF6380" w14:textId="5C1A8145" w:rsidR="002737E5" w:rsidRPr="005850B1" w:rsidRDefault="002737E5">
            <w:pPr>
              <w:rPr>
                <w:rFonts w:ascii="Verdana" w:hAnsi="Verdana"/>
                <w:sz w:val="20"/>
                <w:szCs w:val="20"/>
                <w:lang w:val="lt-LT"/>
              </w:rPr>
            </w:pPr>
            <w:r w:rsidRPr="005850B1">
              <w:rPr>
                <w:rFonts w:ascii="Verdana" w:hAnsi="Verdana"/>
                <w:sz w:val="20"/>
                <w:szCs w:val="20"/>
                <w:lang w:val="lt-LT"/>
              </w:rPr>
              <w:lastRenderedPageBreak/>
              <w:t>SVARBU! Mokymų pareiškėjams medžiaga</w:t>
            </w:r>
          </w:p>
        </w:tc>
        <w:tc>
          <w:tcPr>
            <w:tcW w:w="7371" w:type="dxa"/>
          </w:tcPr>
          <w:p w14:paraId="3428F599" w14:textId="77777777" w:rsidR="002737E5" w:rsidRPr="005850B1" w:rsidRDefault="002737E5">
            <w:pPr>
              <w:rPr>
                <w:rFonts w:ascii="Verdana" w:hAnsi="Verdana"/>
                <w:sz w:val="20"/>
                <w:szCs w:val="20"/>
                <w:lang w:val="lt-LT"/>
              </w:rPr>
            </w:pPr>
          </w:p>
        </w:tc>
      </w:tr>
    </w:tbl>
    <w:p w14:paraId="06264138" w14:textId="79B3336F" w:rsidR="002737E5" w:rsidRPr="005850B1" w:rsidRDefault="002737E5">
      <w:pPr>
        <w:rPr>
          <w:rFonts w:ascii="Verdana" w:hAnsi="Verdana"/>
          <w:b/>
          <w:bCs/>
          <w:i/>
          <w:iCs/>
          <w:sz w:val="20"/>
          <w:szCs w:val="20"/>
          <w:lang w:val="lt-LT"/>
        </w:rPr>
      </w:pPr>
    </w:p>
    <w:sectPr w:rsidR="002737E5" w:rsidRPr="005850B1" w:rsidSect="000D31F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C455F"/>
    <w:multiLevelType w:val="multilevel"/>
    <w:tmpl w:val="1674C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6129F0"/>
    <w:multiLevelType w:val="multilevel"/>
    <w:tmpl w:val="F22E7638"/>
    <w:lvl w:ilvl="0">
      <w:start w:val="2"/>
      <w:numFmt w:val="decimal"/>
      <w:lvlText w:val="%1."/>
      <w:lvlJc w:val="left"/>
      <w:pPr>
        <w:ind w:left="360" w:hanging="360"/>
      </w:pPr>
    </w:lvl>
    <w:lvl w:ilvl="1">
      <w:start w:val="1"/>
      <w:numFmt w:val="decimal"/>
      <w:lvlText w:val="%1.%2."/>
      <w:lvlJc w:val="left"/>
      <w:pPr>
        <w:ind w:left="8157" w:hanging="360"/>
      </w:pPr>
      <w:rPr>
        <w:i w:val="0"/>
        <w:i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75430ED"/>
    <w:multiLevelType w:val="hybridMultilevel"/>
    <w:tmpl w:val="24B20F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E3D5060"/>
    <w:multiLevelType w:val="multilevel"/>
    <w:tmpl w:val="FE1ABC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003"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A5E2ED7"/>
    <w:multiLevelType w:val="multilevel"/>
    <w:tmpl w:val="FC6C8340"/>
    <w:lvl w:ilvl="0">
      <w:start w:val="9"/>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3."/>
      <w:lvlJc w:val="left"/>
      <w:pPr>
        <w:ind w:left="720" w:hanging="720"/>
      </w:pPr>
      <w:rPr>
        <w:rFonts w:ascii="Times New Roman" w:eastAsiaTheme="minorHAnsi"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67B7224"/>
    <w:multiLevelType w:val="hybridMultilevel"/>
    <w:tmpl w:val="DA9290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90ECC91"/>
    <w:multiLevelType w:val="hybridMultilevel"/>
    <w:tmpl w:val="37EA8DDC"/>
    <w:lvl w:ilvl="0" w:tplc="CF86CB5E">
      <w:start w:val="1"/>
      <w:numFmt w:val="decimal"/>
      <w:lvlText w:val="%1."/>
      <w:lvlJc w:val="left"/>
      <w:pPr>
        <w:ind w:left="720" w:hanging="360"/>
      </w:pPr>
    </w:lvl>
    <w:lvl w:ilvl="1" w:tplc="84646220">
      <w:start w:val="1"/>
      <w:numFmt w:val="lowerLetter"/>
      <w:lvlText w:val="%2."/>
      <w:lvlJc w:val="left"/>
      <w:pPr>
        <w:ind w:left="1440" w:hanging="360"/>
      </w:pPr>
    </w:lvl>
    <w:lvl w:ilvl="2" w:tplc="042EB004">
      <w:start w:val="1"/>
      <w:numFmt w:val="lowerRoman"/>
      <w:lvlText w:val="%3."/>
      <w:lvlJc w:val="right"/>
      <w:pPr>
        <w:ind w:left="2160" w:hanging="180"/>
      </w:pPr>
    </w:lvl>
    <w:lvl w:ilvl="3" w:tplc="2D86E980">
      <w:start w:val="1"/>
      <w:numFmt w:val="decimal"/>
      <w:lvlText w:val="%4."/>
      <w:lvlJc w:val="left"/>
      <w:pPr>
        <w:ind w:left="2880" w:hanging="360"/>
      </w:pPr>
    </w:lvl>
    <w:lvl w:ilvl="4" w:tplc="9B4C4316">
      <w:start w:val="1"/>
      <w:numFmt w:val="lowerLetter"/>
      <w:lvlText w:val="%5."/>
      <w:lvlJc w:val="left"/>
      <w:pPr>
        <w:ind w:left="3600" w:hanging="360"/>
      </w:pPr>
    </w:lvl>
    <w:lvl w:ilvl="5" w:tplc="387C4214">
      <w:start w:val="1"/>
      <w:numFmt w:val="lowerRoman"/>
      <w:lvlText w:val="%6."/>
      <w:lvlJc w:val="right"/>
      <w:pPr>
        <w:ind w:left="4320" w:hanging="180"/>
      </w:pPr>
    </w:lvl>
    <w:lvl w:ilvl="6" w:tplc="4D3A17D8">
      <w:start w:val="1"/>
      <w:numFmt w:val="decimal"/>
      <w:lvlText w:val="%7."/>
      <w:lvlJc w:val="left"/>
      <w:pPr>
        <w:ind w:left="5040" w:hanging="360"/>
      </w:pPr>
    </w:lvl>
    <w:lvl w:ilvl="7" w:tplc="015204DA">
      <w:start w:val="1"/>
      <w:numFmt w:val="lowerLetter"/>
      <w:lvlText w:val="%8."/>
      <w:lvlJc w:val="left"/>
      <w:pPr>
        <w:ind w:left="5760" w:hanging="360"/>
      </w:pPr>
    </w:lvl>
    <w:lvl w:ilvl="8" w:tplc="85707B0A">
      <w:start w:val="1"/>
      <w:numFmt w:val="lowerRoman"/>
      <w:lvlText w:val="%9."/>
      <w:lvlJc w:val="right"/>
      <w:pPr>
        <w:ind w:left="6480" w:hanging="180"/>
      </w:pPr>
    </w:lvl>
  </w:abstractNum>
  <w:abstractNum w:abstractNumId="7" w15:restartNumberingAfterBreak="0">
    <w:nsid w:val="61107CCC"/>
    <w:multiLevelType w:val="hybridMultilevel"/>
    <w:tmpl w:val="A21489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29A7AD7"/>
    <w:multiLevelType w:val="hybridMultilevel"/>
    <w:tmpl w:val="FCD2BF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4317508">
    <w:abstractNumId w:val="6"/>
  </w:num>
  <w:num w:numId="2" w16cid:durableId="743533448">
    <w:abstractNumId w:val="8"/>
  </w:num>
  <w:num w:numId="3" w16cid:durableId="1127165917">
    <w:abstractNumId w:val="5"/>
  </w:num>
  <w:num w:numId="4" w16cid:durableId="865410658">
    <w:abstractNumId w:val="7"/>
  </w:num>
  <w:num w:numId="5" w16cid:durableId="2147045798">
    <w:abstractNumId w:val="2"/>
  </w:num>
  <w:num w:numId="6" w16cid:durableId="951475240">
    <w:abstractNumId w:val="0"/>
  </w:num>
  <w:num w:numId="7" w16cid:durableId="1051922373">
    <w:abstractNumId w:val="3"/>
  </w:num>
  <w:num w:numId="8" w16cid:durableId="916984507">
    <w:abstractNumId w:val="4"/>
  </w:num>
  <w:num w:numId="9" w16cid:durableId="183791601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BDF"/>
    <w:rsid w:val="00002073"/>
    <w:rsid w:val="00007748"/>
    <w:rsid w:val="00016304"/>
    <w:rsid w:val="0002238E"/>
    <w:rsid w:val="0004178C"/>
    <w:rsid w:val="0005279E"/>
    <w:rsid w:val="00061DA2"/>
    <w:rsid w:val="00063FBD"/>
    <w:rsid w:val="000728E5"/>
    <w:rsid w:val="000A0112"/>
    <w:rsid w:val="000A298B"/>
    <w:rsid w:val="000B50C1"/>
    <w:rsid w:val="000C10A1"/>
    <w:rsid w:val="000C5D37"/>
    <w:rsid w:val="000C7402"/>
    <w:rsid w:val="000D0CCC"/>
    <w:rsid w:val="000D31F3"/>
    <w:rsid w:val="000D6546"/>
    <w:rsid w:val="000E3B3A"/>
    <w:rsid w:val="000E5531"/>
    <w:rsid w:val="000E7876"/>
    <w:rsid w:val="000F7F41"/>
    <w:rsid w:val="00112103"/>
    <w:rsid w:val="001164D0"/>
    <w:rsid w:val="00130F1B"/>
    <w:rsid w:val="0013278E"/>
    <w:rsid w:val="00135C58"/>
    <w:rsid w:val="00145105"/>
    <w:rsid w:val="001624A6"/>
    <w:rsid w:val="001731D9"/>
    <w:rsid w:val="00181E78"/>
    <w:rsid w:val="0018342B"/>
    <w:rsid w:val="00184B55"/>
    <w:rsid w:val="001A204C"/>
    <w:rsid w:val="001A56BD"/>
    <w:rsid w:val="001A7B20"/>
    <w:rsid w:val="001C2DDD"/>
    <w:rsid w:val="001C447D"/>
    <w:rsid w:val="001D4F1A"/>
    <w:rsid w:val="001D74C8"/>
    <w:rsid w:val="001F5EE9"/>
    <w:rsid w:val="00202C52"/>
    <w:rsid w:val="00211B12"/>
    <w:rsid w:val="00213918"/>
    <w:rsid w:val="00230946"/>
    <w:rsid w:val="0023645B"/>
    <w:rsid w:val="00253DD0"/>
    <w:rsid w:val="002656FC"/>
    <w:rsid w:val="00271FF2"/>
    <w:rsid w:val="002737E5"/>
    <w:rsid w:val="00277C3B"/>
    <w:rsid w:val="00291E74"/>
    <w:rsid w:val="002948C2"/>
    <w:rsid w:val="002970B6"/>
    <w:rsid w:val="002A5442"/>
    <w:rsid w:val="002A62FC"/>
    <w:rsid w:val="002B0C99"/>
    <w:rsid w:val="002B5939"/>
    <w:rsid w:val="002B6006"/>
    <w:rsid w:val="002C4EB7"/>
    <w:rsid w:val="002D07A5"/>
    <w:rsid w:val="002F6BAA"/>
    <w:rsid w:val="00310A2B"/>
    <w:rsid w:val="00322988"/>
    <w:rsid w:val="003452B5"/>
    <w:rsid w:val="003667BF"/>
    <w:rsid w:val="003677EB"/>
    <w:rsid w:val="0037242C"/>
    <w:rsid w:val="003778C5"/>
    <w:rsid w:val="003831DC"/>
    <w:rsid w:val="00383816"/>
    <w:rsid w:val="00383A1B"/>
    <w:rsid w:val="00385680"/>
    <w:rsid w:val="003862D6"/>
    <w:rsid w:val="00392021"/>
    <w:rsid w:val="003C025C"/>
    <w:rsid w:val="003C4096"/>
    <w:rsid w:val="003D1672"/>
    <w:rsid w:val="003D426B"/>
    <w:rsid w:val="003D4FE0"/>
    <w:rsid w:val="003E4AC7"/>
    <w:rsid w:val="003F0521"/>
    <w:rsid w:val="00404953"/>
    <w:rsid w:val="0040694A"/>
    <w:rsid w:val="00407293"/>
    <w:rsid w:val="00414A93"/>
    <w:rsid w:val="0042589A"/>
    <w:rsid w:val="00453202"/>
    <w:rsid w:val="00454BC9"/>
    <w:rsid w:val="00465F62"/>
    <w:rsid w:val="00485F8C"/>
    <w:rsid w:val="004955E4"/>
    <w:rsid w:val="004A28D3"/>
    <w:rsid w:val="004A34ED"/>
    <w:rsid w:val="004B0EE2"/>
    <w:rsid w:val="004C1E32"/>
    <w:rsid w:val="004D720E"/>
    <w:rsid w:val="004E6FB7"/>
    <w:rsid w:val="004F5F6A"/>
    <w:rsid w:val="0050092B"/>
    <w:rsid w:val="00544189"/>
    <w:rsid w:val="005463BC"/>
    <w:rsid w:val="005505D5"/>
    <w:rsid w:val="00560B16"/>
    <w:rsid w:val="005649A6"/>
    <w:rsid w:val="00564C49"/>
    <w:rsid w:val="00572883"/>
    <w:rsid w:val="00576F0C"/>
    <w:rsid w:val="00584B4C"/>
    <w:rsid w:val="005850B1"/>
    <w:rsid w:val="00592188"/>
    <w:rsid w:val="005B6B40"/>
    <w:rsid w:val="005C5F49"/>
    <w:rsid w:val="005D0D71"/>
    <w:rsid w:val="005E044D"/>
    <w:rsid w:val="005E528E"/>
    <w:rsid w:val="005F3CF3"/>
    <w:rsid w:val="00612922"/>
    <w:rsid w:val="00623680"/>
    <w:rsid w:val="006501E6"/>
    <w:rsid w:val="006633FE"/>
    <w:rsid w:val="006677D9"/>
    <w:rsid w:val="0067727F"/>
    <w:rsid w:val="00681E96"/>
    <w:rsid w:val="00685D3B"/>
    <w:rsid w:val="006A67A1"/>
    <w:rsid w:val="006B182E"/>
    <w:rsid w:val="006B46F2"/>
    <w:rsid w:val="006C1F4D"/>
    <w:rsid w:val="006D4904"/>
    <w:rsid w:val="006D4AFB"/>
    <w:rsid w:val="006D5E81"/>
    <w:rsid w:val="006E49E6"/>
    <w:rsid w:val="006E5121"/>
    <w:rsid w:val="006F00D7"/>
    <w:rsid w:val="006F5301"/>
    <w:rsid w:val="006F7C27"/>
    <w:rsid w:val="00701D77"/>
    <w:rsid w:val="00711567"/>
    <w:rsid w:val="007122E3"/>
    <w:rsid w:val="00715965"/>
    <w:rsid w:val="007455DA"/>
    <w:rsid w:val="0076039F"/>
    <w:rsid w:val="00761E92"/>
    <w:rsid w:val="00766DC6"/>
    <w:rsid w:val="00774692"/>
    <w:rsid w:val="00785C5C"/>
    <w:rsid w:val="00793428"/>
    <w:rsid w:val="007A4944"/>
    <w:rsid w:val="007B100B"/>
    <w:rsid w:val="007F2910"/>
    <w:rsid w:val="007F5010"/>
    <w:rsid w:val="008541C3"/>
    <w:rsid w:val="00875EEC"/>
    <w:rsid w:val="008777E5"/>
    <w:rsid w:val="00877FA1"/>
    <w:rsid w:val="0089527C"/>
    <w:rsid w:val="008A09AC"/>
    <w:rsid w:val="008B0289"/>
    <w:rsid w:val="008B752F"/>
    <w:rsid w:val="008C2540"/>
    <w:rsid w:val="008F085C"/>
    <w:rsid w:val="0090576A"/>
    <w:rsid w:val="00905D88"/>
    <w:rsid w:val="00907444"/>
    <w:rsid w:val="009204D3"/>
    <w:rsid w:val="00937365"/>
    <w:rsid w:val="00937C57"/>
    <w:rsid w:val="00941A56"/>
    <w:rsid w:val="00945633"/>
    <w:rsid w:val="00955F58"/>
    <w:rsid w:val="00961E1B"/>
    <w:rsid w:val="009A013C"/>
    <w:rsid w:val="009B0703"/>
    <w:rsid w:val="009C4557"/>
    <w:rsid w:val="009D5D1A"/>
    <w:rsid w:val="009F115F"/>
    <w:rsid w:val="00A30530"/>
    <w:rsid w:val="00A32202"/>
    <w:rsid w:val="00A36B24"/>
    <w:rsid w:val="00A36F92"/>
    <w:rsid w:val="00A46FD3"/>
    <w:rsid w:val="00A472D6"/>
    <w:rsid w:val="00A53A4A"/>
    <w:rsid w:val="00A8062B"/>
    <w:rsid w:val="00A84646"/>
    <w:rsid w:val="00A910D7"/>
    <w:rsid w:val="00A91787"/>
    <w:rsid w:val="00A91EE8"/>
    <w:rsid w:val="00AB56A7"/>
    <w:rsid w:val="00AC1A81"/>
    <w:rsid w:val="00AF2074"/>
    <w:rsid w:val="00B03943"/>
    <w:rsid w:val="00B15B75"/>
    <w:rsid w:val="00B228CA"/>
    <w:rsid w:val="00B23CA6"/>
    <w:rsid w:val="00B34F3C"/>
    <w:rsid w:val="00B42BDF"/>
    <w:rsid w:val="00B471E3"/>
    <w:rsid w:val="00B57278"/>
    <w:rsid w:val="00B57C11"/>
    <w:rsid w:val="00B62710"/>
    <w:rsid w:val="00B74456"/>
    <w:rsid w:val="00B86B84"/>
    <w:rsid w:val="00BA4E5F"/>
    <w:rsid w:val="00BB5215"/>
    <w:rsid w:val="00BC5711"/>
    <w:rsid w:val="00BC7729"/>
    <w:rsid w:val="00BD6F1D"/>
    <w:rsid w:val="00C01AD7"/>
    <w:rsid w:val="00C03124"/>
    <w:rsid w:val="00C07E1A"/>
    <w:rsid w:val="00C22FBF"/>
    <w:rsid w:val="00C23209"/>
    <w:rsid w:val="00C259C8"/>
    <w:rsid w:val="00C270D6"/>
    <w:rsid w:val="00C458D1"/>
    <w:rsid w:val="00C508B1"/>
    <w:rsid w:val="00C70769"/>
    <w:rsid w:val="00C86028"/>
    <w:rsid w:val="00C8633B"/>
    <w:rsid w:val="00CA6466"/>
    <w:rsid w:val="00CB0162"/>
    <w:rsid w:val="00CB10EC"/>
    <w:rsid w:val="00CB22DE"/>
    <w:rsid w:val="00CC7B59"/>
    <w:rsid w:val="00CD00AC"/>
    <w:rsid w:val="00CD7F46"/>
    <w:rsid w:val="00CE1B38"/>
    <w:rsid w:val="00CF2D95"/>
    <w:rsid w:val="00D00CD6"/>
    <w:rsid w:val="00D1279A"/>
    <w:rsid w:val="00D130EB"/>
    <w:rsid w:val="00D14AB8"/>
    <w:rsid w:val="00D26D6F"/>
    <w:rsid w:val="00D42F77"/>
    <w:rsid w:val="00D572E4"/>
    <w:rsid w:val="00D577F8"/>
    <w:rsid w:val="00D60EAD"/>
    <w:rsid w:val="00D634C3"/>
    <w:rsid w:val="00D728DE"/>
    <w:rsid w:val="00D81338"/>
    <w:rsid w:val="00D97A00"/>
    <w:rsid w:val="00D97F48"/>
    <w:rsid w:val="00DA435D"/>
    <w:rsid w:val="00DA6488"/>
    <w:rsid w:val="00DB4EA2"/>
    <w:rsid w:val="00DB7038"/>
    <w:rsid w:val="00DC5962"/>
    <w:rsid w:val="00DC7D9B"/>
    <w:rsid w:val="00E01EB0"/>
    <w:rsid w:val="00E25731"/>
    <w:rsid w:val="00E30F0C"/>
    <w:rsid w:val="00E411BA"/>
    <w:rsid w:val="00E516F2"/>
    <w:rsid w:val="00E8799F"/>
    <w:rsid w:val="00E953E5"/>
    <w:rsid w:val="00E97357"/>
    <w:rsid w:val="00EA4C99"/>
    <w:rsid w:val="00EB0A0D"/>
    <w:rsid w:val="00EC61D6"/>
    <w:rsid w:val="00EF4589"/>
    <w:rsid w:val="00F0292F"/>
    <w:rsid w:val="00F0316E"/>
    <w:rsid w:val="00F047A0"/>
    <w:rsid w:val="00F339A1"/>
    <w:rsid w:val="00F359FD"/>
    <w:rsid w:val="00F42293"/>
    <w:rsid w:val="00F430EC"/>
    <w:rsid w:val="00F51368"/>
    <w:rsid w:val="00F53DA6"/>
    <w:rsid w:val="00F610F2"/>
    <w:rsid w:val="00F63E86"/>
    <w:rsid w:val="00F85359"/>
    <w:rsid w:val="00F857A3"/>
    <w:rsid w:val="00F906D3"/>
    <w:rsid w:val="00FB1B20"/>
    <w:rsid w:val="00FB33BD"/>
    <w:rsid w:val="00FC1F27"/>
    <w:rsid w:val="00FD17F3"/>
    <w:rsid w:val="00FE5809"/>
    <w:rsid w:val="00FF7614"/>
    <w:rsid w:val="0247FE8F"/>
    <w:rsid w:val="05C192E6"/>
    <w:rsid w:val="075D6347"/>
    <w:rsid w:val="08CA3863"/>
    <w:rsid w:val="09396A4D"/>
    <w:rsid w:val="095B6BB9"/>
    <w:rsid w:val="09D045D3"/>
    <w:rsid w:val="09D86D7D"/>
    <w:rsid w:val="12079F60"/>
    <w:rsid w:val="12CFE900"/>
    <w:rsid w:val="15D0377A"/>
    <w:rsid w:val="16DF0944"/>
    <w:rsid w:val="17202B43"/>
    <w:rsid w:val="1B955949"/>
    <w:rsid w:val="1DBFFE7A"/>
    <w:rsid w:val="208C52A7"/>
    <w:rsid w:val="20CFEEA2"/>
    <w:rsid w:val="27917441"/>
    <w:rsid w:val="29486DA5"/>
    <w:rsid w:val="32E230F3"/>
    <w:rsid w:val="3EB8C5F4"/>
    <w:rsid w:val="3F77841E"/>
    <w:rsid w:val="42C0D4EC"/>
    <w:rsid w:val="4361F465"/>
    <w:rsid w:val="450499E9"/>
    <w:rsid w:val="47C6A0DB"/>
    <w:rsid w:val="487D52AE"/>
    <w:rsid w:val="49301670"/>
    <w:rsid w:val="5AE9F821"/>
    <w:rsid w:val="60C8CB20"/>
    <w:rsid w:val="62783505"/>
    <w:rsid w:val="65614C08"/>
    <w:rsid w:val="67F31ACB"/>
    <w:rsid w:val="6B109B77"/>
    <w:rsid w:val="6B2ABB8D"/>
    <w:rsid w:val="6FFB0582"/>
    <w:rsid w:val="7442A2E0"/>
    <w:rsid w:val="758198C7"/>
    <w:rsid w:val="79992601"/>
    <w:rsid w:val="7DC003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424EE"/>
  <w15:chartTrackingRefBased/>
  <w15:docId w15:val="{A2855367-F1CE-4512-9D39-88A62A413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2"/>
    <w:basedOn w:val="prastasis"/>
    <w:link w:val="SraopastraipaDiagrama"/>
    <w:uiPriority w:val="34"/>
    <w:qFormat/>
    <w:rsid w:val="00B42BDF"/>
    <w:pPr>
      <w:ind w:left="720"/>
      <w:contextualSpacing/>
    </w:pPr>
  </w:style>
  <w:style w:type="paragraph" w:customStyle="1" w:styleId="paragraph">
    <w:name w:val="paragraph"/>
    <w:basedOn w:val="prastasis"/>
    <w:rsid w:val="00D572E4"/>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normaltextrun">
    <w:name w:val="normaltextrun"/>
    <w:basedOn w:val="Numatytasispastraiposriftas"/>
    <w:rsid w:val="00D572E4"/>
  </w:style>
  <w:style w:type="character" w:customStyle="1" w:styleId="eop">
    <w:name w:val="eop"/>
    <w:basedOn w:val="Numatytasispastraiposriftas"/>
    <w:rsid w:val="00D572E4"/>
  </w:style>
  <w:style w:type="character" w:styleId="Hipersaitas">
    <w:name w:val="Hyperlink"/>
    <w:basedOn w:val="Numatytasispastraiposriftas"/>
    <w:uiPriority w:val="99"/>
    <w:unhideWhenUsed/>
    <w:rsid w:val="00D572E4"/>
    <w:rPr>
      <w:color w:val="0563C1" w:themeColor="hyperlink"/>
      <w:u w:val="single"/>
    </w:rPr>
  </w:style>
  <w:style w:type="character" w:styleId="Neapdorotaspaminjimas">
    <w:name w:val="Unresolved Mention"/>
    <w:basedOn w:val="Numatytasispastraiposriftas"/>
    <w:uiPriority w:val="99"/>
    <w:semiHidden/>
    <w:unhideWhenUsed/>
    <w:rsid w:val="00D572E4"/>
    <w:rPr>
      <w:color w:val="605E5C"/>
      <w:shd w:val="clear" w:color="auto" w:fill="E1DFDD"/>
    </w:rPr>
  </w:style>
  <w:style w:type="table" w:styleId="Lentelstinklelis">
    <w:name w:val="Table Grid"/>
    <w:basedOn w:val="prastojilentel"/>
    <w:uiPriority w:val="39"/>
    <w:rsid w:val="002737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A36F92"/>
    <w:rPr>
      <w:color w:val="954F72" w:themeColor="followedHyperlink"/>
      <w:u w:val="single"/>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6501E6"/>
  </w:style>
  <w:style w:type="paragraph" w:styleId="Komentarotekstas">
    <w:name w:val="annotation text"/>
    <w:aliases w:val=" Char"/>
    <w:basedOn w:val="prastasis"/>
    <w:link w:val="KomentarotekstasDiagrama"/>
    <w:unhideWhenUsed/>
    <w:rsid w:val="000D6546"/>
    <w:pPr>
      <w:spacing w:line="240" w:lineRule="auto"/>
    </w:pPr>
    <w:rPr>
      <w:sz w:val="20"/>
      <w:szCs w:val="20"/>
      <w:lang w:val="lt-LT"/>
    </w:rPr>
  </w:style>
  <w:style w:type="character" w:customStyle="1" w:styleId="KomentarotekstasDiagrama">
    <w:name w:val="Komentaro tekstas Diagrama"/>
    <w:aliases w:val=" Char Diagrama"/>
    <w:basedOn w:val="Numatytasispastraiposriftas"/>
    <w:link w:val="Komentarotekstas"/>
    <w:rsid w:val="000D6546"/>
    <w:rPr>
      <w:sz w:val="20"/>
      <w:szCs w:val="20"/>
      <w:lang w:val="lt-LT"/>
    </w:rPr>
  </w:style>
  <w:style w:type="character" w:customStyle="1" w:styleId="ui-provider">
    <w:name w:val="ui-provider"/>
    <w:basedOn w:val="Numatytasispastraiposriftas"/>
    <w:rsid w:val="00D42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5210">
      <w:bodyDiv w:val="1"/>
      <w:marLeft w:val="0"/>
      <w:marRight w:val="0"/>
      <w:marTop w:val="0"/>
      <w:marBottom w:val="0"/>
      <w:divBdr>
        <w:top w:val="none" w:sz="0" w:space="0" w:color="auto"/>
        <w:left w:val="none" w:sz="0" w:space="0" w:color="auto"/>
        <w:bottom w:val="none" w:sz="0" w:space="0" w:color="auto"/>
        <w:right w:val="none" w:sz="0" w:space="0" w:color="auto"/>
      </w:divBdr>
    </w:div>
    <w:div w:id="112865700">
      <w:bodyDiv w:val="1"/>
      <w:marLeft w:val="0"/>
      <w:marRight w:val="0"/>
      <w:marTop w:val="0"/>
      <w:marBottom w:val="0"/>
      <w:divBdr>
        <w:top w:val="none" w:sz="0" w:space="0" w:color="auto"/>
        <w:left w:val="none" w:sz="0" w:space="0" w:color="auto"/>
        <w:bottom w:val="none" w:sz="0" w:space="0" w:color="auto"/>
        <w:right w:val="none" w:sz="0" w:space="0" w:color="auto"/>
      </w:divBdr>
    </w:div>
    <w:div w:id="181406618">
      <w:bodyDiv w:val="1"/>
      <w:marLeft w:val="0"/>
      <w:marRight w:val="0"/>
      <w:marTop w:val="0"/>
      <w:marBottom w:val="0"/>
      <w:divBdr>
        <w:top w:val="none" w:sz="0" w:space="0" w:color="auto"/>
        <w:left w:val="none" w:sz="0" w:space="0" w:color="auto"/>
        <w:bottom w:val="none" w:sz="0" w:space="0" w:color="auto"/>
        <w:right w:val="none" w:sz="0" w:space="0" w:color="auto"/>
      </w:divBdr>
      <w:divsChild>
        <w:div w:id="130171379">
          <w:marLeft w:val="0"/>
          <w:marRight w:val="0"/>
          <w:marTop w:val="0"/>
          <w:marBottom w:val="0"/>
          <w:divBdr>
            <w:top w:val="none" w:sz="0" w:space="0" w:color="auto"/>
            <w:left w:val="none" w:sz="0" w:space="0" w:color="auto"/>
            <w:bottom w:val="none" w:sz="0" w:space="0" w:color="auto"/>
            <w:right w:val="none" w:sz="0" w:space="0" w:color="auto"/>
          </w:divBdr>
        </w:div>
        <w:div w:id="309287343">
          <w:marLeft w:val="0"/>
          <w:marRight w:val="0"/>
          <w:marTop w:val="0"/>
          <w:marBottom w:val="0"/>
          <w:divBdr>
            <w:top w:val="none" w:sz="0" w:space="0" w:color="auto"/>
            <w:left w:val="none" w:sz="0" w:space="0" w:color="auto"/>
            <w:bottom w:val="none" w:sz="0" w:space="0" w:color="auto"/>
            <w:right w:val="none" w:sz="0" w:space="0" w:color="auto"/>
          </w:divBdr>
        </w:div>
        <w:div w:id="530454488">
          <w:marLeft w:val="0"/>
          <w:marRight w:val="0"/>
          <w:marTop w:val="0"/>
          <w:marBottom w:val="0"/>
          <w:divBdr>
            <w:top w:val="none" w:sz="0" w:space="0" w:color="auto"/>
            <w:left w:val="none" w:sz="0" w:space="0" w:color="auto"/>
            <w:bottom w:val="none" w:sz="0" w:space="0" w:color="auto"/>
            <w:right w:val="none" w:sz="0" w:space="0" w:color="auto"/>
          </w:divBdr>
        </w:div>
        <w:div w:id="1212157282">
          <w:marLeft w:val="0"/>
          <w:marRight w:val="0"/>
          <w:marTop w:val="0"/>
          <w:marBottom w:val="0"/>
          <w:divBdr>
            <w:top w:val="none" w:sz="0" w:space="0" w:color="auto"/>
            <w:left w:val="none" w:sz="0" w:space="0" w:color="auto"/>
            <w:bottom w:val="none" w:sz="0" w:space="0" w:color="auto"/>
            <w:right w:val="none" w:sz="0" w:space="0" w:color="auto"/>
          </w:divBdr>
        </w:div>
        <w:div w:id="87654012">
          <w:marLeft w:val="0"/>
          <w:marRight w:val="0"/>
          <w:marTop w:val="0"/>
          <w:marBottom w:val="0"/>
          <w:divBdr>
            <w:top w:val="none" w:sz="0" w:space="0" w:color="auto"/>
            <w:left w:val="none" w:sz="0" w:space="0" w:color="auto"/>
            <w:bottom w:val="none" w:sz="0" w:space="0" w:color="auto"/>
            <w:right w:val="none" w:sz="0" w:space="0" w:color="auto"/>
          </w:divBdr>
        </w:div>
      </w:divsChild>
    </w:div>
    <w:div w:id="200751437">
      <w:bodyDiv w:val="1"/>
      <w:marLeft w:val="0"/>
      <w:marRight w:val="0"/>
      <w:marTop w:val="0"/>
      <w:marBottom w:val="0"/>
      <w:divBdr>
        <w:top w:val="none" w:sz="0" w:space="0" w:color="auto"/>
        <w:left w:val="none" w:sz="0" w:space="0" w:color="auto"/>
        <w:bottom w:val="none" w:sz="0" w:space="0" w:color="auto"/>
        <w:right w:val="none" w:sz="0" w:space="0" w:color="auto"/>
      </w:divBdr>
    </w:div>
    <w:div w:id="625892683">
      <w:bodyDiv w:val="1"/>
      <w:marLeft w:val="0"/>
      <w:marRight w:val="0"/>
      <w:marTop w:val="0"/>
      <w:marBottom w:val="0"/>
      <w:divBdr>
        <w:top w:val="none" w:sz="0" w:space="0" w:color="auto"/>
        <w:left w:val="none" w:sz="0" w:space="0" w:color="auto"/>
        <w:bottom w:val="none" w:sz="0" w:space="0" w:color="auto"/>
        <w:right w:val="none" w:sz="0" w:space="0" w:color="auto"/>
      </w:divBdr>
    </w:div>
    <w:div w:id="819737121">
      <w:bodyDiv w:val="1"/>
      <w:marLeft w:val="0"/>
      <w:marRight w:val="0"/>
      <w:marTop w:val="0"/>
      <w:marBottom w:val="0"/>
      <w:divBdr>
        <w:top w:val="none" w:sz="0" w:space="0" w:color="auto"/>
        <w:left w:val="none" w:sz="0" w:space="0" w:color="auto"/>
        <w:bottom w:val="none" w:sz="0" w:space="0" w:color="auto"/>
        <w:right w:val="none" w:sz="0" w:space="0" w:color="auto"/>
      </w:divBdr>
    </w:div>
    <w:div w:id="1121999252">
      <w:bodyDiv w:val="1"/>
      <w:marLeft w:val="0"/>
      <w:marRight w:val="0"/>
      <w:marTop w:val="0"/>
      <w:marBottom w:val="0"/>
      <w:divBdr>
        <w:top w:val="none" w:sz="0" w:space="0" w:color="auto"/>
        <w:left w:val="none" w:sz="0" w:space="0" w:color="auto"/>
        <w:bottom w:val="none" w:sz="0" w:space="0" w:color="auto"/>
        <w:right w:val="none" w:sz="0" w:space="0" w:color="auto"/>
      </w:divBdr>
    </w:div>
    <w:div w:id="1592741706">
      <w:bodyDiv w:val="1"/>
      <w:marLeft w:val="0"/>
      <w:marRight w:val="0"/>
      <w:marTop w:val="0"/>
      <w:marBottom w:val="0"/>
      <w:divBdr>
        <w:top w:val="none" w:sz="0" w:space="0" w:color="auto"/>
        <w:left w:val="none" w:sz="0" w:space="0" w:color="auto"/>
        <w:bottom w:val="none" w:sz="0" w:space="0" w:color="auto"/>
        <w:right w:val="none" w:sz="0" w:space="0" w:color="auto"/>
      </w:divBdr>
      <w:divsChild>
        <w:div w:id="1948806687">
          <w:marLeft w:val="0"/>
          <w:marRight w:val="0"/>
          <w:marTop w:val="0"/>
          <w:marBottom w:val="0"/>
          <w:divBdr>
            <w:top w:val="none" w:sz="0" w:space="0" w:color="auto"/>
            <w:left w:val="none" w:sz="0" w:space="0" w:color="auto"/>
            <w:bottom w:val="none" w:sz="0" w:space="0" w:color="auto"/>
            <w:right w:val="none" w:sz="0" w:space="0" w:color="auto"/>
          </w:divBdr>
        </w:div>
        <w:div w:id="845174239">
          <w:marLeft w:val="0"/>
          <w:marRight w:val="0"/>
          <w:marTop w:val="0"/>
          <w:marBottom w:val="0"/>
          <w:divBdr>
            <w:top w:val="none" w:sz="0" w:space="0" w:color="auto"/>
            <w:left w:val="none" w:sz="0" w:space="0" w:color="auto"/>
            <w:bottom w:val="none" w:sz="0" w:space="0" w:color="auto"/>
            <w:right w:val="none" w:sz="0" w:space="0" w:color="auto"/>
          </w:divBdr>
        </w:div>
        <w:div w:id="1632058796">
          <w:marLeft w:val="0"/>
          <w:marRight w:val="0"/>
          <w:marTop w:val="0"/>
          <w:marBottom w:val="0"/>
          <w:divBdr>
            <w:top w:val="none" w:sz="0" w:space="0" w:color="auto"/>
            <w:left w:val="none" w:sz="0" w:space="0" w:color="auto"/>
            <w:bottom w:val="none" w:sz="0" w:space="0" w:color="auto"/>
            <w:right w:val="none" w:sz="0" w:space="0" w:color="auto"/>
          </w:divBdr>
        </w:div>
        <w:div w:id="482552045">
          <w:marLeft w:val="0"/>
          <w:marRight w:val="0"/>
          <w:marTop w:val="0"/>
          <w:marBottom w:val="0"/>
          <w:divBdr>
            <w:top w:val="none" w:sz="0" w:space="0" w:color="auto"/>
            <w:left w:val="none" w:sz="0" w:space="0" w:color="auto"/>
            <w:bottom w:val="none" w:sz="0" w:space="0" w:color="auto"/>
            <w:right w:val="none" w:sz="0" w:space="0" w:color="auto"/>
          </w:divBdr>
        </w:div>
        <w:div w:id="429938156">
          <w:marLeft w:val="0"/>
          <w:marRight w:val="0"/>
          <w:marTop w:val="0"/>
          <w:marBottom w:val="0"/>
          <w:divBdr>
            <w:top w:val="none" w:sz="0" w:space="0" w:color="auto"/>
            <w:left w:val="none" w:sz="0" w:space="0" w:color="auto"/>
            <w:bottom w:val="none" w:sz="0" w:space="0" w:color="auto"/>
            <w:right w:val="none" w:sz="0" w:space="0" w:color="auto"/>
          </w:divBdr>
        </w:div>
        <w:div w:id="1612781921">
          <w:marLeft w:val="0"/>
          <w:marRight w:val="0"/>
          <w:marTop w:val="0"/>
          <w:marBottom w:val="0"/>
          <w:divBdr>
            <w:top w:val="none" w:sz="0" w:space="0" w:color="auto"/>
            <w:left w:val="none" w:sz="0" w:space="0" w:color="auto"/>
            <w:bottom w:val="none" w:sz="0" w:space="0" w:color="auto"/>
            <w:right w:val="none" w:sz="0" w:space="0" w:color="auto"/>
          </w:divBdr>
        </w:div>
        <w:div w:id="624312367">
          <w:marLeft w:val="0"/>
          <w:marRight w:val="0"/>
          <w:marTop w:val="0"/>
          <w:marBottom w:val="0"/>
          <w:divBdr>
            <w:top w:val="none" w:sz="0" w:space="0" w:color="auto"/>
            <w:left w:val="none" w:sz="0" w:space="0" w:color="auto"/>
            <w:bottom w:val="none" w:sz="0" w:space="0" w:color="auto"/>
            <w:right w:val="none" w:sz="0" w:space="0" w:color="auto"/>
          </w:divBdr>
        </w:div>
        <w:div w:id="1437139651">
          <w:marLeft w:val="0"/>
          <w:marRight w:val="0"/>
          <w:marTop w:val="0"/>
          <w:marBottom w:val="0"/>
          <w:divBdr>
            <w:top w:val="none" w:sz="0" w:space="0" w:color="auto"/>
            <w:left w:val="none" w:sz="0" w:space="0" w:color="auto"/>
            <w:bottom w:val="none" w:sz="0" w:space="0" w:color="auto"/>
            <w:right w:val="none" w:sz="0" w:space="0" w:color="auto"/>
          </w:divBdr>
        </w:div>
        <w:div w:id="71776359">
          <w:marLeft w:val="0"/>
          <w:marRight w:val="0"/>
          <w:marTop w:val="0"/>
          <w:marBottom w:val="0"/>
          <w:divBdr>
            <w:top w:val="none" w:sz="0" w:space="0" w:color="auto"/>
            <w:left w:val="none" w:sz="0" w:space="0" w:color="auto"/>
            <w:bottom w:val="none" w:sz="0" w:space="0" w:color="auto"/>
            <w:right w:val="none" w:sz="0" w:space="0" w:color="auto"/>
          </w:divBdr>
        </w:div>
        <w:div w:id="1756397479">
          <w:marLeft w:val="0"/>
          <w:marRight w:val="0"/>
          <w:marTop w:val="0"/>
          <w:marBottom w:val="0"/>
          <w:divBdr>
            <w:top w:val="none" w:sz="0" w:space="0" w:color="auto"/>
            <w:left w:val="none" w:sz="0" w:space="0" w:color="auto"/>
            <w:bottom w:val="none" w:sz="0" w:space="0" w:color="auto"/>
            <w:right w:val="none" w:sz="0" w:space="0" w:color="auto"/>
          </w:divBdr>
        </w:div>
        <w:div w:id="1307008212">
          <w:marLeft w:val="0"/>
          <w:marRight w:val="0"/>
          <w:marTop w:val="0"/>
          <w:marBottom w:val="0"/>
          <w:divBdr>
            <w:top w:val="none" w:sz="0" w:space="0" w:color="auto"/>
            <w:left w:val="none" w:sz="0" w:space="0" w:color="auto"/>
            <w:bottom w:val="none" w:sz="0" w:space="0" w:color="auto"/>
            <w:right w:val="none" w:sz="0" w:space="0" w:color="auto"/>
          </w:divBdr>
        </w:div>
        <w:div w:id="1675065123">
          <w:marLeft w:val="0"/>
          <w:marRight w:val="0"/>
          <w:marTop w:val="0"/>
          <w:marBottom w:val="0"/>
          <w:divBdr>
            <w:top w:val="none" w:sz="0" w:space="0" w:color="auto"/>
            <w:left w:val="none" w:sz="0" w:space="0" w:color="auto"/>
            <w:bottom w:val="none" w:sz="0" w:space="0" w:color="auto"/>
            <w:right w:val="none" w:sz="0" w:space="0" w:color="auto"/>
          </w:divBdr>
        </w:div>
        <w:div w:id="384838218">
          <w:marLeft w:val="0"/>
          <w:marRight w:val="0"/>
          <w:marTop w:val="0"/>
          <w:marBottom w:val="0"/>
          <w:divBdr>
            <w:top w:val="none" w:sz="0" w:space="0" w:color="auto"/>
            <w:left w:val="none" w:sz="0" w:space="0" w:color="auto"/>
            <w:bottom w:val="none" w:sz="0" w:space="0" w:color="auto"/>
            <w:right w:val="none" w:sz="0" w:space="0" w:color="auto"/>
          </w:divBdr>
        </w:div>
        <w:div w:id="1567260335">
          <w:marLeft w:val="0"/>
          <w:marRight w:val="0"/>
          <w:marTop w:val="0"/>
          <w:marBottom w:val="0"/>
          <w:divBdr>
            <w:top w:val="none" w:sz="0" w:space="0" w:color="auto"/>
            <w:left w:val="none" w:sz="0" w:space="0" w:color="auto"/>
            <w:bottom w:val="none" w:sz="0" w:space="0" w:color="auto"/>
            <w:right w:val="none" w:sz="0" w:space="0" w:color="auto"/>
          </w:divBdr>
        </w:div>
        <w:div w:id="817186890">
          <w:marLeft w:val="0"/>
          <w:marRight w:val="0"/>
          <w:marTop w:val="0"/>
          <w:marBottom w:val="0"/>
          <w:divBdr>
            <w:top w:val="none" w:sz="0" w:space="0" w:color="auto"/>
            <w:left w:val="none" w:sz="0" w:space="0" w:color="auto"/>
            <w:bottom w:val="none" w:sz="0" w:space="0" w:color="auto"/>
            <w:right w:val="none" w:sz="0" w:space="0" w:color="auto"/>
          </w:divBdr>
        </w:div>
        <w:div w:id="1579443179">
          <w:marLeft w:val="0"/>
          <w:marRight w:val="0"/>
          <w:marTop w:val="0"/>
          <w:marBottom w:val="0"/>
          <w:divBdr>
            <w:top w:val="none" w:sz="0" w:space="0" w:color="auto"/>
            <w:left w:val="none" w:sz="0" w:space="0" w:color="auto"/>
            <w:bottom w:val="none" w:sz="0" w:space="0" w:color="auto"/>
            <w:right w:val="none" w:sz="0" w:space="0" w:color="auto"/>
          </w:divBdr>
        </w:div>
      </w:divsChild>
    </w:div>
    <w:div w:id="1764299934">
      <w:bodyDiv w:val="1"/>
      <w:marLeft w:val="0"/>
      <w:marRight w:val="0"/>
      <w:marTop w:val="0"/>
      <w:marBottom w:val="0"/>
      <w:divBdr>
        <w:top w:val="none" w:sz="0" w:space="0" w:color="auto"/>
        <w:left w:val="none" w:sz="0" w:space="0" w:color="auto"/>
        <w:bottom w:val="none" w:sz="0" w:space="0" w:color="auto"/>
        <w:right w:val="none" w:sz="0" w:space="0" w:color="auto"/>
      </w:divBdr>
    </w:div>
    <w:div w:id="2126188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1a971460172d11ee9f7ec2ffce8b47bc"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2021.esinvesticijos.lt/dokumentai/projekto-igyvendinimo-plano-forma" TargetMode="External"/><Relationship Id="rId17" Type="http://schemas.openxmlformats.org/officeDocument/2006/relationships/hyperlink" Target="https://2021.esinvesticijos.lt/dokumentai/rekomendacijos-del-projektu-islaidu-atitikties-europos-sajungos-fondu-reikalavimams?version=1" TargetMode="External"/><Relationship Id="rId2" Type="http://schemas.openxmlformats.org/officeDocument/2006/relationships/customXml" Target="../customXml/item2.xml"/><Relationship Id="rId16" Type="http://schemas.openxmlformats.org/officeDocument/2006/relationships/hyperlink" Target="https://2021.esinvesticijos.lt/dokumentai/2021-2027-metu-europos-sajungos-fondu-investiciju-programos-projektu-islaidu-paskirstymo-regionams-rekomendacijo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14e33320f1ed11ec8fa7d02a65c371ad/asr" TargetMode="External"/><Relationship Id="rId5" Type="http://schemas.openxmlformats.org/officeDocument/2006/relationships/numbering" Target="numbering.xml"/><Relationship Id="rId15" Type="http://schemas.openxmlformats.org/officeDocument/2006/relationships/hyperlink" Target="https://www.e-tar.lt/portal/lt/legalAct/5bb097a0b92011e5a6588fb85a3cc84b" TargetMode="External"/><Relationship Id="rId10" Type="http://schemas.openxmlformats.org/officeDocument/2006/relationships/hyperlink" Target="http://www.esinvesticijos.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www.inovacijuagentura.lt" TargetMode="External"/><Relationship Id="rId14" Type="http://schemas.openxmlformats.org/officeDocument/2006/relationships/hyperlink" Target="https://2021.esinvesticijos.lt/dokumentai/projekto-sutarties-forma-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5" ma:contentTypeDescription="Kurkite naują dokumentą." ma:contentTypeScope="" ma:versionID="b0bfb35d2811d5212937458ee95f43ff">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982370b17005c7bafbb45be6f4243b4a"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D77413-20EC-4387-9BDD-2743F3EE1235}">
  <ds:schemaRefs>
    <ds:schemaRef ds:uri="http://schemas.openxmlformats.org/officeDocument/2006/bibliography"/>
  </ds:schemaRefs>
</ds:datastoreItem>
</file>

<file path=customXml/itemProps2.xml><?xml version="1.0" encoding="utf-8"?>
<ds:datastoreItem xmlns:ds="http://schemas.openxmlformats.org/officeDocument/2006/customXml" ds:itemID="{3AB65B16-442F-4601-86B8-D7858878D655}">
  <ds:schemaRefs>
    <ds:schemaRef ds:uri="http://schemas.microsoft.com/sharepoint/v3/contenttype/forms"/>
  </ds:schemaRefs>
</ds:datastoreItem>
</file>

<file path=customXml/itemProps3.xml><?xml version="1.0" encoding="utf-8"?>
<ds:datastoreItem xmlns:ds="http://schemas.openxmlformats.org/officeDocument/2006/customXml" ds:itemID="{AB758954-1215-460C-8421-762636E490FC}">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4.xml><?xml version="1.0" encoding="utf-8"?>
<ds:datastoreItem xmlns:ds="http://schemas.openxmlformats.org/officeDocument/2006/customXml" ds:itemID="{48D85DE6-5165-4D9B-8A92-6942A87605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1186</Words>
  <Characters>6762</Characters>
  <Application>Microsoft Office Word</Application>
  <DocSecurity>0</DocSecurity>
  <Lines>56</Lines>
  <Paragraphs>15</Paragraphs>
  <ScaleCrop>false</ScaleCrop>
  <Company/>
  <LinksUpToDate>false</LinksUpToDate>
  <CharactersWithSpaces>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Danutė Čičinskaitė</dc:creator>
  <cp:keywords/>
  <dc:description/>
  <cp:lastModifiedBy>Alina Makevičienė</cp:lastModifiedBy>
  <cp:revision>2</cp:revision>
  <dcterms:created xsi:type="dcterms:W3CDTF">2023-07-07T09:36:00Z</dcterms:created>
  <dcterms:modified xsi:type="dcterms:W3CDTF">2023-07-07T09:36:00Z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